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79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967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 B ANDREW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425 WINTER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GREIF,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GEF, GEF-B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DELAWARE</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43015</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restart"/>
          </w:tcPr>
          <w:p>
            <w:pPr>
              <w:ind w:left="280"/>
              <w:spacing w:after="0" w:line="207" w:lineRule="exact"/>
              <w:rPr>
                <w:sz w:val="20"/>
                <w:szCs w:val="20"/>
                <w:color w:val="auto"/>
              </w:rPr>
            </w:pPr>
            <w:r>
              <w:rPr>
                <w:rFonts w:ascii="Arial" w:cs="Arial" w:eastAsia="Arial" w:hAnsi="Arial"/>
                <w:sz w:val="21"/>
                <w:szCs w:val="21"/>
                <w:color w:val="000000"/>
                <w:vertAlign w:val="subscript"/>
              </w:rPr>
              <w:t>$</w:t>
            </w:r>
            <w:r>
              <w:rPr>
                <w:rFonts w:ascii="Times New Roman" w:cs="Times New Roman" w:eastAsia="Times New Roman" w:hAnsi="Times New Roman"/>
                <w:sz w:val="23"/>
                <w:szCs w:val="23"/>
                <w:color w:val="0000FF"/>
                <w:vertAlign w:val="subscript"/>
              </w:rPr>
              <w:t>0</w:t>
            </w:r>
            <w:r>
              <w:rPr>
                <w:rFonts w:ascii="Times New Roman" w:cs="Times New Roman" w:eastAsia="Times New Roman" w:hAnsi="Times New Roman"/>
                <w:sz w:val="10"/>
                <w:szCs w:val="10"/>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402.36</w:t>
            </w:r>
          </w:p>
        </w:tc>
        <w:tc>
          <w:tcPr>
            <w:tcW w:w="700" w:type="dxa"/>
            <w:vAlign w:val="bottom"/>
          </w:tcPr>
          <w:p>
            <w:pPr>
              <w:spacing w:after="0"/>
              <w:rPr>
                <w:sz w:val="5"/>
                <w:szCs w:val="5"/>
                <w:color w:val="auto"/>
              </w:rPr>
            </w:pPr>
          </w:p>
        </w:tc>
        <w:tc>
          <w:tcPr>
            <w:tcW w:w="94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3"/>
                <w:szCs w:val="13"/>
                <w:color w:val="0000FF"/>
              </w:rPr>
              <w:t>3,313.38</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1100" w:type="dxa"/>
            <w:vAlign w:val="bottom"/>
          </w:tcPr>
          <w:p>
            <w:pPr>
              <w:spacing w:after="0"/>
              <w:rPr>
                <w:sz w:val="6"/>
                <w:szCs w:val="6"/>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402.36</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65.24</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(Cash</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Only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Rights)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phantom stock unit is the economic equivalent of one share of Class A Common Stock of Greif, Inc.</w:t>
      </w:r>
    </w:p>
    <w:p>
      <w:pPr>
        <w:spacing w:after="0" w:line="44" w:lineRule="exact"/>
        <w:rPr>
          <w:rFonts w:ascii="Times New Roman" w:cs="Times New Roman" w:eastAsia="Times New Roman" w:hAnsi="Times New Roman"/>
          <w:sz w:val="13"/>
          <w:szCs w:val="13"/>
          <w:color w:val="008000"/>
        </w:rPr>
      </w:pPr>
    </w:p>
    <w:p>
      <w:pPr>
        <w:ind w:left="40" w:right="7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to be settled in cash upon the earlier of (i) a future fixed date designated by the Reporting Person made at the time of the deferral election, or (ii) the Reporting Person's termination from the Board due to his retirement, death, disability or other reason.</w:t>
      </w:r>
    </w:p>
    <w:p>
      <w:pPr>
        <w:spacing w:after="0" w:line="16" w:lineRule="exact"/>
        <w:rPr>
          <w:rFonts w:ascii="Times New Roman" w:cs="Times New Roman" w:eastAsia="Times New Roman" w:hAnsi="Times New Roman"/>
          <w:sz w:val="13"/>
          <w:szCs w:val="13"/>
          <w:color w:val="008000"/>
        </w:rPr>
      </w:pPr>
    </w:p>
    <w:p>
      <w:pPr>
        <w:ind w:left="40" w:right="4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24.10 units received on April 1, 2026 in lieu of payment of dividends on outstanding phantom units. Dividends paid on one phantom unit are equivalent in value to dividends paid on one share of Class A Common Stock.</w:t>
      </w:r>
    </w:p>
    <w:p>
      <w:pPr>
        <w:spacing w:after="0" w:line="42" w:lineRule="exact"/>
        <w:rPr>
          <w:rFonts w:ascii="Times New Roman" w:cs="Times New Roman" w:eastAsia="Times New Roman" w:hAnsi="Times New Roman"/>
          <w:sz w:val="13"/>
          <w:szCs w:val="13"/>
          <w:color w:val="008000"/>
        </w:rPr>
      </w:pPr>
    </w:p>
    <w:p>
      <w:pPr>
        <w:ind w:left="6800" w:hanging="200"/>
        <w:spacing w:after="0"/>
        <w:tabs>
          <w:tab w:leader="none" w:pos="6800" w:val="left"/>
        </w:tabs>
        <w:numPr>
          <w:ilvl w:val="1"/>
          <w:numId w:val="2"/>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Andrew Rose by L. Dennis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287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Hoffman, Jr. pursuant to a POA 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filed with the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160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lvl w:ilvl="1">
      <w:lvlJc w:val="left"/>
      <w:lvlText w:val="%2."/>
      <w:numFmt w:val="upperLetter"/>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51048" TargetMode="External"/><Relationship Id="rId14" Type="http://schemas.openxmlformats.org/officeDocument/2006/relationships/hyperlink" Target="http://www.sec.gov/cgi-bin/browse-edgar?action=getcompany&amp;CIK=0000043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2026-05-01T17:16:27Z</dcterms:created>
  <dcterms:modified xsi:type="dcterms:W3CDTF">2026-05-01T17:16:27Z</dcterms:modified>
</cp:coreProperties>
</file>