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Morrison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425 WINTER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DELAWARE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GREIF, INC</w:t>
              </w:r>
            </w:hyperlink>
            <w:r>
              <w:rPr/>
              <w:t xml:space="preserve"> [ </w:t>
            </w:r>
            <w:r>
              <w:rPr>
                <w:rFonts w:ascii="Times;serif" w:hAnsi="Times;serif"/>
                <w:color w:val="0000FF"/>
                <w:sz w:val="24"/>
                <w:shd w:fill="FFFFFF" w:val="clear"/>
              </w:rPr>
              <w:t>GEF, GEF-B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 (Cash Only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303.29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86.55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3,332.09</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stock unit is the economic equivalent of one share of Class A Common Stock of Greif,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shares are to be settled in cash upon the Reporting Person's termination from the Board due to her retirement, death or other reason.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24.82 units received on July 1, 2026 in lieu of payment of dividends on outstanding phantom units. Dividends paid on one phantom unit are equivalent in value to dividends paid on one share of Class 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Karen A. Morrison by L. Dennis Hoffman, Jr. pursuant to a POA filed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4572" TargetMode="External"/><Relationship Id="rId5" Type="http://schemas.openxmlformats.org/officeDocument/2006/relationships/hyperlink" Target="http://www.sec.gov/cgi-bin/browse-edgar?action=getcompany&amp;CIK=00000439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3536</Characters>
  <CharactersWithSpaces>4131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