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-583565</wp:posOffset>
            </wp:positionH>
            <wp:positionV relativeFrom="paragraph">
              <wp:posOffset>68580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-583565</wp:posOffset>
            </wp:positionH>
            <wp:positionV relativeFrom="paragraph">
              <wp:posOffset>104775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572" w:hanging="367"/>
        <w:spacing w:after="0"/>
        <w:tabs>
          <w:tab w:leader="none" w:pos="5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15(d) OF THE SECURITIES EXCHANGE ACT OF 1934</w:t>
      </w:r>
    </w:p>
    <w:p>
      <w:pPr>
        <w:spacing w:after="0" w:line="262" w:lineRule="exact"/>
        <w:rPr>
          <w:rFonts w:ascii="MS PGothic" w:cs="MS PGothic" w:eastAsia="MS PGothic" w:hAnsi="MS PGothic"/>
          <w:sz w:val="22"/>
          <w:szCs w:val="22"/>
          <w:color w:val="auto"/>
        </w:rPr>
      </w:pPr>
    </w:p>
    <w:p>
      <w:pPr>
        <w:ind w:left="3072"/>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u w:val="single" w:color="auto"/>
          <w:color w:val="auto"/>
        </w:rPr>
        <w:t>December 31, 2025</w:t>
      </w:r>
    </w:p>
    <w:p>
      <w:pPr>
        <w:spacing w:after="0" w:line="265" w:lineRule="exact"/>
        <w:rPr>
          <w:rFonts w:ascii="MS PGothic" w:cs="MS PGothic" w:eastAsia="MS PGothic" w:hAnsi="MS PGothic"/>
          <w:sz w:val="22"/>
          <w:szCs w:val="22"/>
          <w:color w:val="auto"/>
        </w:rPr>
      </w:pPr>
    </w:p>
    <w:p>
      <w:pPr>
        <w:ind w:left="4572"/>
        <w:spacing w:after="0"/>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OR</w:t>
      </w:r>
    </w:p>
    <w:p>
      <w:pPr>
        <w:spacing w:after="0" w:line="302" w:lineRule="exact"/>
        <w:rPr>
          <w:sz w:val="24"/>
          <w:szCs w:val="24"/>
          <w:color w:val="auto"/>
        </w:rPr>
      </w:pPr>
    </w:p>
    <w:p>
      <w:pPr>
        <w:jc w:val="center"/>
        <w:ind w:left="2812" w:right="179" w:hanging="2812"/>
        <w:spacing w:after="0" w:line="538" w:lineRule="auto"/>
        <w:tabs>
          <w:tab w:leader="none" w:pos="408"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18"/>
          <w:szCs w:val="18"/>
          <w:b w:val="1"/>
          <w:bCs w:val="1"/>
          <w:color w:val="auto"/>
        </w:rPr>
        <w:t xml:space="preserve">TRANSITION REPORT PURSUANT TO SECTION 15(d) OF THE SECURITIES EXCHANGE ACT OF 1934 </w:t>
      </w:r>
      <w:r>
        <w:rPr>
          <w:rFonts w:ascii="Times New Roman" w:cs="Times New Roman" w:eastAsia="Times New Roman" w:hAnsi="Times New Roman"/>
          <w:sz w:val="18"/>
          <w:szCs w:val="18"/>
          <w:color w:val="auto"/>
        </w:rPr>
        <w:t>For the transition period from _______to_______</w:t>
      </w:r>
    </w:p>
    <w:p>
      <w:pPr>
        <w:spacing w:after="0" w:line="1" w:lineRule="exact"/>
        <w:rPr>
          <w:rFonts w:ascii="Wingdings" w:cs="Wingdings" w:eastAsia="Wingdings" w:hAnsi="Wingdings"/>
          <w:sz w:val="22"/>
          <w:szCs w:val="22"/>
          <w:b w:val="1"/>
          <w:bCs w:val="1"/>
          <w:color w:val="auto"/>
        </w:rPr>
      </w:pPr>
    </w:p>
    <w:p>
      <w:pPr>
        <w:ind w:left="3332"/>
        <w:spacing w:after="0"/>
        <w:rPr>
          <w:rFonts w:ascii="Wingdings" w:cs="Wingdings" w:eastAsia="Wingdings" w:hAnsi="Wingdings"/>
          <w:sz w:val="22"/>
          <w:szCs w:val="22"/>
          <w:b w:val="1"/>
          <w:bCs w:val="1"/>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001-00566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-583565</wp:posOffset>
            </wp:positionH>
            <wp:positionV relativeFrom="paragraph">
              <wp:posOffset>88265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212" w:hanging="356"/>
        <w:spacing w:after="0"/>
        <w:tabs>
          <w:tab w:leader="none" w:pos="12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316"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Greif 401(k) Retirement Plan</w:t>
      </w:r>
    </w:p>
    <w:p>
      <w:pPr>
        <w:spacing w:after="0" w:line="270" w:lineRule="exact"/>
        <w:rPr>
          <w:sz w:val="24"/>
          <w:szCs w:val="24"/>
          <w:color w:val="auto"/>
        </w:rPr>
      </w:pPr>
    </w:p>
    <w:p>
      <w:pPr>
        <w:ind w:left="892" w:hanging="351"/>
        <w:spacing w:after="0"/>
        <w:tabs>
          <w:tab w:leader="none" w:pos="8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302"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Greif, Inc.</w:t>
      </w:r>
    </w:p>
    <w:p>
      <w:pPr>
        <w:spacing w:after="0" w:line="3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425 Winter Road</w:t>
      </w:r>
    </w:p>
    <w:p>
      <w:pPr>
        <w:spacing w:after="0" w:line="9"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Delaware, Ohio 43015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-596265</wp:posOffset>
            </wp:positionH>
            <wp:positionV relativeFrom="paragraph">
              <wp:posOffset>695960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74295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11"/>
          </w:cols>
          <w:pgMar w:left="1248" w:top="121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REQUIRED INFORMATION</w:t>
            </w: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financial statements for the Greif 401(k) Retirement Plan are being filed herewith:</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7860" w:type="dxa"/>
            <w:vAlign w:val="bottom"/>
            <w:gridSpan w:val="6"/>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 No.</w:t>
            </w:r>
          </w:p>
        </w:tc>
      </w:tr>
      <w:tr>
        <w:trPr>
          <w:trHeight w:val="245"/>
        </w:trPr>
        <w:tc>
          <w:tcPr>
            <w:tcW w:w="20" w:type="dxa"/>
            <w:vAlign w:val="bottom"/>
          </w:tcPr>
          <w:p>
            <w:pPr>
              <w:spacing w:after="0"/>
              <w:rPr>
                <w:sz w:val="21"/>
                <w:szCs w:val="21"/>
                <w:color w:val="auto"/>
              </w:rPr>
            </w:pPr>
          </w:p>
        </w:tc>
        <w:tc>
          <w:tcPr>
            <w:tcW w:w="8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8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 of December 31, 2025 and 2024 and for the year ended December 31, 2025</w:t>
            </w:r>
          </w:p>
        </w:tc>
        <w:tc>
          <w:tcPr>
            <w:tcW w:w="1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87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44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4540" w:type="dxa"/>
            <w:vAlign w:val="bottom"/>
            <w:gridSpan w:val="2"/>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Benefits</w:t>
            </w:r>
          </w:p>
        </w:tc>
        <w:tc>
          <w:tcPr>
            <w:tcW w:w="4540" w:type="dxa"/>
            <w:vAlign w:val="bottom"/>
            <w:gridSpan w:val="2"/>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060" w:type="dxa"/>
            <w:vAlign w:val="bottom"/>
            <w:gridSpan w:val="2"/>
          </w:tcPr>
          <w:p>
            <w:pPr>
              <w:spacing w:after="0"/>
              <w:rPr>
                <w:sz w:val="18"/>
                <w:szCs w:val="18"/>
                <w:color w:val="auto"/>
              </w:rPr>
            </w:pPr>
          </w:p>
        </w:tc>
        <w:tc>
          <w:tcPr>
            <w:tcW w:w="4540" w:type="dxa"/>
            <w:vAlign w:val="bottom"/>
            <w:gridSpan w:val="2"/>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Supplemental Schedule: </w:t>
            </w:r>
            <w:r>
              <w:rPr>
                <w:rFonts w:ascii="Times New Roman" w:cs="Times New Roman" w:eastAsia="Times New Roman" w:hAnsi="Times New Roman"/>
                <w:sz w:val="18"/>
                <w:szCs w:val="18"/>
                <w:color w:val="0000FF"/>
              </w:rPr>
              <w:t>Schedule H, Part IV, Line 4i - Schedule of Assets (Held at End of Year)</w:t>
            </w: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209"/>
        </w:trPr>
        <w:tc>
          <w:tcPr>
            <w:tcW w:w="2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140" w:type="dxa"/>
            <w:vAlign w:val="bottom"/>
            <w:tcBorders>
              <w:top w:val="single" w:sz="8" w:color="0000FF"/>
            </w:tcBorders>
            <w:gridSpan w:val="4"/>
          </w:tcPr>
          <w:p>
            <w:pPr>
              <w:spacing w:after="0"/>
              <w:rPr>
                <w:sz w:val="18"/>
                <w:szCs w:val="18"/>
                <w:color w:val="auto"/>
              </w:rPr>
            </w:pPr>
          </w:p>
        </w:tc>
        <w:tc>
          <w:tcPr>
            <w:tcW w:w="182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18"/>
                <w:szCs w:val="18"/>
                <w:color w:val="auto"/>
              </w:rPr>
            </w:pPr>
          </w:p>
        </w:tc>
        <w:tc>
          <w:tcPr>
            <w:tcW w:w="96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88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60" w:type="dxa"/>
            <w:vAlign w:val="bottom"/>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1</w:t>
            </w: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To the Audit Committee,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American Retirement Plans Committee,</w:t>
      </w:r>
    </w:p>
    <w:p>
      <w:pPr>
        <w:spacing w:after="0" w:line="234" w:lineRule="auto"/>
        <w:rPr>
          <w:sz w:val="20"/>
          <w:szCs w:val="20"/>
          <w:color w:val="auto"/>
        </w:rPr>
      </w:pPr>
      <w:r>
        <w:rPr>
          <w:rFonts w:ascii="Times New Roman" w:cs="Times New Roman" w:eastAsia="Times New Roman" w:hAnsi="Times New Roman"/>
          <w:sz w:val="18"/>
          <w:szCs w:val="18"/>
          <w:color w:val="auto"/>
        </w:rPr>
        <w:t>Plan Administrator and Participants of</w:t>
      </w:r>
    </w:p>
    <w:p>
      <w:pPr>
        <w:spacing w:after="0" w:line="235" w:lineRule="auto"/>
        <w:rPr>
          <w:sz w:val="20"/>
          <w:szCs w:val="20"/>
          <w:color w:val="auto"/>
        </w:rPr>
      </w:pPr>
      <w:r>
        <w:rPr>
          <w:rFonts w:ascii="Times New Roman" w:cs="Times New Roman" w:eastAsia="Times New Roman" w:hAnsi="Times New Roman"/>
          <w:sz w:val="18"/>
          <w:szCs w:val="18"/>
          <w:color w:val="auto"/>
        </w:rPr>
        <w:t>Greif 401(k) Retirement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Ohio</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4165"/>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165"/>
        </w:rPr>
        <w:t>Opinion on the Financial Statements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Greif 401(k) Retirement Plan (the “Plan”) as of December 31, 2025 and 2024, the related statement of changes in net assets available for benefits for the year ended December 31, 2025, and the related notes and schedule (collectively,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165"/>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165"/>
        </w:rPr>
        <w:t>Supplemental Information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GBQ PARTNERS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2017.</w:t>
      </w:r>
    </w:p>
    <w:p>
      <w:pPr>
        <w:spacing w:after="0" w:line="234" w:lineRule="auto"/>
        <w:rPr>
          <w:sz w:val="20"/>
          <w:szCs w:val="20"/>
          <w:color w:val="auto"/>
        </w:rPr>
      </w:pPr>
      <w:r>
        <w:rPr>
          <w:rFonts w:ascii="Times New Roman" w:cs="Times New Roman" w:eastAsia="Times New Roman" w:hAnsi="Times New Roman"/>
          <w:sz w:val="18"/>
          <w:szCs w:val="18"/>
          <w:color w:val="auto"/>
        </w:rPr>
        <w:t>Columbus, Ohio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Greif 401(k) Retirement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23"/>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Investments at fair value (Note 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r>
      <w:tr>
        <w:trPr>
          <w:trHeight w:val="230"/>
        </w:trPr>
        <w:tc>
          <w:tcPr>
            <w:tcW w:w="75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Guaranteed investment contracts, at contract value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30"/>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Participant notes receivable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Participant contributions receivable</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Transfer receivable</w:t>
            </w:r>
          </w:p>
        </w:tc>
        <w:tc>
          <w:tcPr>
            <w:tcW w:w="4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receivables</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1"/>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Greif 401(k) Retirement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30"/>
        </w:trPr>
        <w:tc>
          <w:tcPr>
            <w:tcW w:w="7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7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tcPr>
          <w:p>
            <w:pPr>
              <w:spacing w:after="0"/>
              <w:rPr>
                <w:sz w:val="19"/>
                <w:szCs w:val="19"/>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7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Rollover contributions</w:t>
            </w:r>
          </w:p>
        </w:tc>
        <w:tc>
          <w:tcPr>
            <w:tcW w:w="280" w:type="dxa"/>
            <w:vAlign w:val="bottom"/>
            <w:tcBorders>
              <w:bottom w:val="single" w:sz="8" w:color="auto"/>
            </w:tcBorders>
            <w:shd w:val="clear" w:color="auto" w:fill="CCEEFF"/>
          </w:tcPr>
          <w:p>
            <w:pPr>
              <w:spacing w:after="0"/>
              <w:rPr>
                <w:sz w:val="19"/>
                <w:szCs w:val="19"/>
                <w:color w:val="auto"/>
              </w:rPr>
            </w:pP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contributions</w:t>
            </w:r>
          </w:p>
        </w:tc>
        <w:tc>
          <w:tcPr>
            <w:tcW w:w="280" w:type="dxa"/>
            <w:vAlign w:val="bottom"/>
          </w:tcPr>
          <w:p>
            <w:pPr>
              <w:spacing w:after="0"/>
              <w:rPr>
                <w:sz w:val="19"/>
                <w:szCs w:val="19"/>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on participant notes receivable</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29"/>
        </w:trPr>
        <w:tc>
          <w:tcPr>
            <w:tcW w:w="7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30"/>
        </w:trPr>
        <w:tc>
          <w:tcPr>
            <w:tcW w:w="798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additions</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70"/>
        </w:trPr>
        <w:tc>
          <w:tcPr>
            <w:tcW w:w="7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80" w:type="dxa"/>
            <w:vAlign w:val="bottom"/>
          </w:tcPr>
          <w:p>
            <w:pPr>
              <w:spacing w:after="0"/>
              <w:rPr>
                <w:sz w:val="19"/>
                <w:szCs w:val="19"/>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 fees</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280" w:type="dxa"/>
            <w:vAlign w:val="bottom"/>
            <w:tcBorders>
              <w:bottom w:val="single" w:sz="8" w:color="auto"/>
            </w:tcBorders>
            <w:shd w:val="clear" w:color="auto" w:fill="CCEEFF"/>
          </w:tcPr>
          <w:p>
            <w:pPr>
              <w:spacing w:after="0"/>
              <w:rPr>
                <w:sz w:val="19"/>
                <w:szCs w:val="19"/>
                <w:color w:val="auto"/>
              </w:rPr>
            </w:pP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50"/>
        </w:trPr>
        <w:tc>
          <w:tcPr>
            <w:tcW w:w="7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net assets</w:t>
            </w: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beginning of year</w:t>
            </w:r>
          </w:p>
        </w:tc>
        <w:tc>
          <w:tcPr>
            <w:tcW w:w="2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Greif 401(k) Retirement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Description of the Plan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Greif 401(k) Retirement Plan (the “Plan”) is provided for general information purposes only. Participants should refer to the plan document and summary plan description for more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Plan is a defined contribution plan covering all employees at adopting locations of Greif Packaging LLC (both the “Sponsor” and the "Administrator"), a wholly-owned subsidiary of Greif, Inc. (the "Company"), and is subject to the provisions of the Employee Retirement Income Security Act of 1974 ("ERISA"). The Plan was adopted by the Sponsor to provide eligible employees with special incentives for retirement savings. Eligible employees participate as soon as administratively feasible following their date of hire and upon 18 years of age. The Administrator is responsible for keeping accurate and complete records with regard to the Plan, informing participants of changes or amendments to the Plan, and ensuring that the Plan conforms to applicable laws and regulations. Principal Trust Company maintains the Plan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TPG Plastics LLC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Company's acquisition of TPG Plastics LLC ("TPG Plastics") on March 26, 2024, eligible TPG Plastics employees remained participants in the TPG Plastics, LLC 401(k) Plan (the "TPG Plan"), a defined contribution plan, through December 31, 2024. During 2024, the Company determined that it was in the best interest of the participants of the TPG Plan and the Plan to merge them together effective December 31, 2024 at close of business. As a result of the merger, net assets of $2.0 million were recorded as a receivable from the TPG Plan on the accompanying 2024 statement of net assets available for benefits since the net assets were transferred into the Plan January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Plan Termination</w:t>
      </w:r>
    </w:p>
    <w:p>
      <w:pPr>
        <w:spacing w:after="0" w:line="243"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2025, the Plan experienced a reduction in participation as a result of the sale of the Containerboard Business, which closed on August 31, 2025, that constituted a partial plan termination under Internal Revenue Code Section 411(d)(3). As a result, all affected participants with a severance from employment during the applicable period became 100 percent vested in employer contribution amounts credited to their accounts as of the date of the partial plan termination, to the extent funded.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Contributions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Participants may contribute up to 100 percent of their annual compensation, not to exceed the deferral limit as established annually by the Internal Revenue Code (the "IRC"), into a choice of investment options. In no event shall the amount contributed for any plan year exceed the amount allowable in computing the participant’s federal income tax exclusion for that plan year. As soon as eligibility criteria are satisfied, participants are automatically enrolled with payroll deductions of 3 percent but are permitted to opt out or change the payroll deduction percentage. Until participants make an investment selection, all of their contributions are invested in a target fund investment option that corresponds to the participant’s projected retirement date, which is based on the participant’s current age and a retirement age of 65. Once the participant makes an investment election, participant contributions are allocated as the participant directs.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may also choose to make rollover contributions (except amounts representing after-tax contributions) to the Plan of amounts received from an eligible employer plan maintained by another company or from an Individual Retirement Account.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Employer Contributions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its discretion, the Sponsor may make matching and/or profit sharing contributions as set forth in the Plan document. Additionally, the Sponsor contributes three percent of compensation earned for all participants not eligible to participate in the Greif Pension Plan. Certain employer matching contributions are paid pursuant to collective bargaining agreements. The Sponsor’s contributions are allocated to investments in the same manner as that of the participant’s elective contributions.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Accounts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the Sponsor’s matching and profit sharing contributions and allocations of plan earnings, and is charged with an allocation of administrative expenses. Plan earnings are allocated based on the participant’s share of net earnings or losses of their respective elected investment options. Allocations of</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expenses are based on the participant’s account balances, as defined in the Plan document. The benefit to which a participant is entitled is the benefit that can be provided from the participant’s vested account.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direct the investment of their contributions and/or account balances into various investment options offered by the Plan and may change investments and transfer amounts between funds daily. The Plan offers 10 mutual funds at registered investment companies, 17 pooled accounts of common collective trusts, a guaranteed investment account, and an employer common stock fund.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have full and immediate vesting in all participant contributions and related income credited to their accounts. Employer contributions and actual earnings thereon vest ratably over a five-year period unless otherwise provided by collective bargaining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Forfeitures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termination of employment, participants forfeit their unvested balances. Upon a participant's date of rehire, all years of service credited to such participant's date of termination are taken into account.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Forfeited balances of terminated participant’s unvested accounts are used to reduce the administrative expenses of the Plan or future employer contributions. Unallocated forfeitures as of December 31, 2025 and 2024 were approximately $3.6 million and $1.8 million, respectively. Forfeitures used to reduce administrative expenses were approximately $0.1 million in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accounts up to a maximum equal to the lesser of $50,000 or 50 percent of their vested account balance. Loan terms range from 1-5 years, or up to 30 years if for the purchase of a primary residence. The $50,000 limit is reduced by the participant’s highest outstanding loan balance during the preceding 12-month period. A reasonable interest rate will be determined for each loan by the Plan Administrator and is commensurate with prevailing rates at the issuance of loans. As of December 31, 2025, participant loans had maturities through 2050 at interest rates ranging from 4.25 percent to 9.50 percent.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Benefits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Withdrawals under the Plan are allowed for termination of employment, hardship (as defined by the Plan document), retirement, or the attainment of age 59 1⁄2. Distributions may also be made to the participant in the event of physical or mental disability or to a named beneficiary in the event of the participant’s death. Distributions are made in a lump sum payment or by installment payments at the participant’s 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Employer Stock Fund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can elect to invest in the employer stock fund consisting of Greif, Inc. Class A Common Stock. The fund may also hold cash or cash equivalents as necessary to satisfy the obligations of the fund. Participants may not allocate more than 20% of their future contributions to the employer stock fund.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Termination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Sponsor has the right under the Plan to discontinue its contributions at any time and to terminate the Plan subject to the provisions of ERISA. In the event of Plan termination, participants will become 100% vested in their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are prepared using the accrual basis of accounting in accordance with accounting principles generally accepted in the United States of America (“GAAP”).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Employer are recorded in the year in which participant compensation is earned.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Payments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Benefits are recorded upon distribution to participants. There were no participants who elected to withdraw from the Plan, but had not yet been paid at December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investment management and transaction fees directly related to the Plan investments are paid by the Plan. Management fees and operating expenses charged to the Plan for investments are deducted from income earned on a daily basis and are not separately reflected. Consequently, management fees and operating expenses are reflected as a reduction of investment return for such investments. Additional recordkeeping and investment advisory services that are directly attributable to Plan participant’s accounts are charged on a per-participant basis.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Plan fiduciaries periodically review and monitor all Plan fees and expenses, including investment management, recordkeeping, and advisory fees, to determine whether such fees are reasonable in light of the services provided. This review process may include benchmarking fees against comparable plans and service providers and evaluating alternative fee arrangements. In assessing fees, the Plan fiduciaries seek reasonable value for services rendered and are not required to select the lowest-cost option.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If a participant ceases to make loan repayments and the Plan Administrator deems the participant loan to be a distribution, the participant loan balance is reduced and a benefit payment is recorded.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Plan management to make estimates that affect the amounts reported in the financial statements and accompanying notes. Actual results could differ from those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Income Recognition</w:t>
      </w:r>
    </w:p>
    <w:p>
      <w:pPr>
        <w:spacing w:after="0" w:line="20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Plan’s investments are stated at fair value (except for the guaranteed investment contract, which is reported at contract value). Fair value is defined as the price that would be received to sell an asset or paid to transfer a liability in an orderly transaction between market participants at the measurement date (an exit price). See Note 3 for further discussion and disclosures related to fair value measurements. Purchases and sales of securities are recorded on a trade-date basis. Interest income is recorded as earned. Dividends are recorded on the ex-dividend date. Net appreciation includes the Plan’s gains and losses on investments bought and sold as well as held during the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provides various investment securities options to its participants. Investment securities are exposed to various risks such as interest rate, market volatility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Fair Value Measurements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Valuation techniques maximize the use of relevant observable inputs and minimize the use of unobservable inputs. The three levels of the fair value hierarchy under Topic 820 are described as follows: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are quoted prices (unadjusted in active markets for identical assets or liabilities) that the Plan can access at the measurement date.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such as:</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Inputs that are unobservable inputs for the asset or liability.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investments measured at fair value. The inputs or methodology to value securities are not necessarily an indication of risk associated with investing in those securities, and there have been no changes in the methodologies used at December 31, 2025 and 2024. Valuation techniques maximize the use of relevant observable inputs and minimize the use of unobservable inputs.</w:t>
      </w:r>
    </w:p>
    <w:p>
      <w:pPr>
        <w:spacing w:after="0" w:line="6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Common stocks </w:t>
      </w:r>
      <w:r>
        <w:rPr>
          <w:rFonts w:ascii="Times New Roman" w:cs="Times New Roman" w:eastAsia="Times New Roman" w:hAnsi="Times New Roman"/>
          <w:sz w:val="18"/>
          <w:szCs w:val="18"/>
          <w:color w:val="auto"/>
        </w:rPr>
        <w:t>are valued at the closing price reported in the active market on which the individual securities are traded.</w:t>
      </w:r>
    </w:p>
    <w:p>
      <w:pPr>
        <w:spacing w:after="0" w:line="117"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are valued at the daily closing price as reported by the fund. Mutual funds held by the Plan are open-ended mutual funds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with the Securities and Exchange Commission. These funds are required to publish their daily net asset value and to transact at that price. The mutual funds held by the Plan are deemed to be actively traded.</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collective funds </w:t>
      </w:r>
      <w:r>
        <w:rPr>
          <w:rFonts w:ascii="Times New Roman" w:cs="Times New Roman" w:eastAsia="Times New Roman" w:hAnsi="Times New Roman"/>
          <w:sz w:val="18"/>
          <w:szCs w:val="18"/>
          <w:color w:val="auto"/>
        </w:rPr>
        <w:t>are measured at net asset value. The net asset value as provided by the trustees is used as a practical expedient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fair value. The net asset value is based on the fair value of the underlying investments held by the fund less its liabilities. This practical expedient is not used when it is determined to be probable that the fund will sell the investment for an amount different than the reported net asset value. The use of net asset value is deemed appropriate as the collective funds do not have a finite life, unfunded commitments or significant restrictions on redemptions.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fair value calculations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carried at fair value as of December 31, 2025 and 2024, respectively. Classification within the fair value hierarchy is based on the lowest level of any input that is significant to the fair value measurement.</w:t>
      </w:r>
    </w:p>
    <w:p>
      <w:pPr>
        <w:spacing w:after="0" w:line="158"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2025</w:t>
            </w:r>
          </w:p>
        </w:tc>
        <w:tc>
          <w:tcPr>
            <w:tcW w:w="106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 (1)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2024</w:t>
            </w:r>
          </w:p>
        </w:tc>
        <w:tc>
          <w:tcPr>
            <w:tcW w:w="106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measured at net asset value (1)</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740" w:right="940" w:firstLine="1"/>
        <w:spacing w:after="0" w:line="241" w:lineRule="auto"/>
        <w:tabs>
          <w:tab w:leader="none" w:pos="94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Accounting Standard Codification 820-10, certain investments that were measured at net asset value per share (or its equivalent) have not been classified in the fair value hierarchy. The fair value amounts represented in this table are intended to permit reconciliation of the fair value hierarchy to the line items presented in the statement of net assets available for benefits.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Between Levels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availability of observable market data is monitored to assess the appropriate classification of financial instruments within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economic conditions or model-based valuation techniques may require the transfer of financial instruments from one fair value level to another.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instances, the transfer is reported at the beginning of the reporting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 the significance of transfers between levels based upon the nature of the financial instrument and size of the transfer relative to the total net assets available for benefits. There were no transfers between levels during 2025 or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Investment Contract with Insurance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has a traditional fully benefit-responsive investment contract with John Hancock Life Insurance Company (U.S.A.) (John Hancock) totaling $0.4 million and $0.5 million as of December 31, 2025 and 2024. John Hancock maintains the contributions in a general account. The account is credited with earnings on the underlying investments and charged for participant withdrawals and administrative expenses. The crediting interest rates are based on an agreed-upon formula with the contract issuer, and are guaranteed for an agreed upon period, usually one year.</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events might limit the ability of the Plan to transact at contract value with the issuer. Such events include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No events are probable of occurring that might limit the ability of the Plan to transact at contract value with the contract issuer and that also would limit the ability of the Plan to transact at contract value with the participants.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certain events allow the issuer to terminate the contract with the Plan and settle at an amount different from contract value. Such events include</w:t>
      </w:r>
    </w:p>
    <w:p>
      <w:pPr>
        <w:spacing w:after="0" w:line="27" w:lineRule="exact"/>
        <w:rPr>
          <w:sz w:val="20"/>
          <w:szCs w:val="20"/>
          <w:color w:val="auto"/>
        </w:rPr>
      </w:pPr>
    </w:p>
    <w:p>
      <w:pPr>
        <w:ind w:firstLine="8"/>
        <w:spacing w:after="0" w:line="26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uncured violation of the Plan’s investment guidelines, (2) a breach of material obligation under the contract, (3) a material misrepresentation, (4) a material amendment to the agreement without consent of the issuer.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Party-in-Interest Transactions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The Plan also invests in the common stock of Greif, Inc. As of December 31, 2025 and 2024, the Plan owned 125,557 and 136,080 shares of Greif, Inc.’s Class A Common Stock with a fair value of $8.5 million and $8.3 million, respectively. As of December 31, 2025 and 2024, the cost basis of Greif, Inc.’s Class A Common Stock was $7.9 million and $8.7 million, respectively. Dividends earned from Greif, Inc. were $0.3 million for the year ended December 31,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members of Greif Packaging LLC management perform administrative and fiduciary duties for the Plan that qualify them as parties-in-interest and/or related parties of the Plan. Transactions between such members of Greif Packaging LLC management and the Plan were routine in nature and conducted pursuant to the Plan’s provisions as of and during the year ended December 31, 2025.</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Principal Life Insurance Company (Principal) is a party-in-interest with respect to the Plan as the Plan’s contract administrator. The Sponsor is a party-in-interest with respect to the Plan. The Plan reimburses the Sponsor only for direct costs for necessary services provided. Highland Consulting Associates, LLC and Edelman Financial Engines, LLC are parties-in-interest with respect to the Plan as both parties provide investment advisory services to the Plan or participants directly. GBQ Partners, LLC (GBQ) is a party-in-interest with respect to the Plan as GBQ provides audit services to the Plan. Vorys, Sater, Seymour and Pease LLP (Vorys) is a party-in-interest with respect to the Plan as Vorys provides legal services to the Plan.</w:t>
      </w:r>
    </w:p>
    <w:p>
      <w:pPr>
        <w:spacing w:after="0" w:line="143" w:lineRule="exact"/>
        <w:rPr>
          <w:sz w:val="20"/>
          <w:szCs w:val="20"/>
          <w:color w:val="auto"/>
        </w:rPr>
      </w:pPr>
    </w:p>
    <w:p>
      <w:pPr>
        <w:ind w:right="160"/>
        <w:spacing w:after="0" w:line="461" w:lineRule="auto"/>
        <w:rPr>
          <w:sz w:val="20"/>
          <w:szCs w:val="20"/>
          <w:color w:val="auto"/>
        </w:rPr>
      </w:pPr>
      <w:r>
        <w:rPr>
          <w:rFonts w:ascii="Times New Roman" w:cs="Times New Roman" w:eastAsia="Times New Roman" w:hAnsi="Times New Roman"/>
          <w:sz w:val="18"/>
          <w:szCs w:val="18"/>
          <w:color w:val="auto"/>
        </w:rPr>
        <w:t xml:space="preserve">The transactions mentioned above qualify as party-in-interest transactions; however, they are exempt from the prohibited transactions rules under ERISA. </w:t>
      </w:r>
      <w:r>
        <w:rPr>
          <w:rFonts w:ascii="Times New Roman" w:cs="Times New Roman" w:eastAsia="Times New Roman" w:hAnsi="Times New Roman"/>
          <w:sz w:val="18"/>
          <w:szCs w:val="18"/>
          <w:b w:val="1"/>
          <w:bCs w:val="1"/>
          <w:u w:val="single" w:color="auto"/>
          <w:color w:val="auto"/>
        </w:rPr>
        <w:t>Note 6 - Income Tax Status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("IRS") dated August 6, 2021, stating that the Plan is qualified under Section 401(a) of the IRC and, therefore, the related trust is exempt from taxation. Subsequent to this determination by the IRS, the Plan was amended. Once qualified, the Plan is required to operate in conformity with the IRC to maintain its qualified status. The Plan Sponsor believes the Plan is being operated in compliance with the applicable requirements of the IRC and, therefore, believes the Plan, as amended, is qualified and the related trust is tax-exempt.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and 2024, there are no uncertain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2021.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Reconciliation of Financial Statements to the Form 5500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Form 5500 at December 31, 2025 and 2024:</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Participant contributions receivable</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Employer contributions receivable</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Rounding</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changes within net assets available for benefits per the financial statements to the Form 5500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03" w:lineRule="exact"/>
        <w:rPr>
          <w:sz w:val="20"/>
          <w:szCs w:val="20"/>
          <w:color w:val="auto"/>
        </w:rPr>
      </w:pPr>
    </w:p>
    <w:tbl>
      <w:tblPr>
        <w:tblLayout w:type="fixed"/>
        <w:tblInd w:w="1740" w:type="dxa"/>
        <w:tblCellMar>
          <w:top w:w="0" w:type="dxa"/>
          <w:left w:w="0" w:type="dxa"/>
          <w:bottom w:w="0" w:type="dxa"/>
          <w:right w:w="0" w:type="dxa"/>
        </w:tblCellMar>
      </w:tblPr>
      <w:tr>
        <w:trPr>
          <w:trHeight w:val="238"/>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per the financial statements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receivables: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End of year</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Rounding</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the Form 5500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Subsequent Events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Plan Sponsor has evaluated subsequent events from the statement of net assets available for plan benefits date through June 22, 2026, the date at which the financial statements were issued, and no additional events were noted which warrant adjustments to, or disclosure in, the financial statements.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Greif 401(k) Retirement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ID No: 36-3268123; Plan No: 001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H, Part IV, Line 4i - Schedule of Assets (Held at End of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31, 2025</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jc w:val="center"/>
              <w:ind w:right="1799"/>
              <w:spacing w:after="0"/>
              <w:rPr>
                <w:sz w:val="20"/>
                <w:szCs w:val="20"/>
                <w:color w:val="auto"/>
              </w:rPr>
            </w:pPr>
            <w:r>
              <w:rPr>
                <w:rFonts w:ascii="Times New Roman" w:cs="Times New Roman" w:eastAsia="Times New Roman" w:hAnsi="Times New Roman"/>
                <w:sz w:val="16"/>
                <w:szCs w:val="16"/>
                <w:color w:val="auto"/>
                <w:w w:val="96"/>
              </w:rPr>
              <w:t>(b)</w:t>
            </w:r>
          </w:p>
        </w:tc>
        <w:tc>
          <w:tcPr>
            <w:tcW w:w="4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(c)</w:t>
            </w:r>
          </w:p>
        </w:tc>
        <w:tc>
          <w:tcPr>
            <w:tcW w:w="160" w:type="dxa"/>
            <w:vAlign w:val="bottom"/>
          </w:tcPr>
          <w:p>
            <w:pPr>
              <w:spacing w:after="0"/>
              <w:rPr>
                <w:sz w:val="18"/>
                <w:szCs w:val="18"/>
                <w:color w:val="auto"/>
              </w:rPr>
            </w:pPr>
          </w:p>
        </w:tc>
        <w:tc>
          <w:tcPr>
            <w:tcW w:w="1280" w:type="dxa"/>
            <w:vAlign w:val="bottom"/>
          </w:tcPr>
          <w:p>
            <w:pPr>
              <w:jc w:val="center"/>
              <w:ind w:right="96"/>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80" w:type="dxa"/>
            <w:vAlign w:val="bottom"/>
            <w:gridSpan w:val="5"/>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Identity of Issue, Borrower, Lessor, or Similar Party</w:t>
            </w:r>
          </w:p>
        </w:tc>
        <w:tc>
          <w:tcPr>
            <w:tcW w:w="4740" w:type="dxa"/>
            <w:vAlign w:val="bottom"/>
          </w:tcPr>
          <w:p>
            <w:pPr>
              <w:jc w:val="center"/>
              <w:ind w:left="139"/>
              <w:spacing w:after="0" w:line="168" w:lineRule="exact"/>
              <w:rPr>
                <w:sz w:val="20"/>
                <w:szCs w:val="20"/>
                <w:color w:val="auto"/>
              </w:rPr>
            </w:pPr>
            <w:r>
              <w:rPr>
                <w:rFonts w:ascii="Times New Roman" w:cs="Times New Roman" w:eastAsia="Times New Roman" w:hAnsi="Times New Roman"/>
                <w:sz w:val="16"/>
                <w:szCs w:val="16"/>
                <w:b w:val="1"/>
                <w:bCs w:val="1"/>
                <w:color w:val="auto"/>
              </w:rPr>
              <w:t>Description of Investment Including Maturity Date, Rate of</w:t>
            </w:r>
          </w:p>
        </w:tc>
        <w:tc>
          <w:tcPr>
            <w:tcW w:w="160" w:type="dxa"/>
            <w:vAlign w:val="bottom"/>
          </w:tcPr>
          <w:p>
            <w:pPr>
              <w:spacing w:after="0"/>
              <w:rPr>
                <w:sz w:val="14"/>
                <w:szCs w:val="14"/>
                <w:color w:val="auto"/>
              </w:rPr>
            </w:pPr>
          </w:p>
        </w:tc>
        <w:tc>
          <w:tcPr>
            <w:tcW w:w="1280" w:type="dxa"/>
            <w:vAlign w:val="bottom"/>
          </w:tcPr>
          <w:p>
            <w:pPr>
              <w:jc w:val="center"/>
              <w:ind w:right="76"/>
              <w:spacing w:after="0" w:line="168" w:lineRule="exact"/>
              <w:rPr>
                <w:sz w:val="20"/>
                <w:szCs w:val="20"/>
                <w:color w:val="auto"/>
              </w:rPr>
            </w:pPr>
            <w:r>
              <w:rPr>
                <w:rFonts w:ascii="Times New Roman" w:cs="Times New Roman" w:eastAsia="Times New Roman" w:hAnsi="Times New Roman"/>
                <w:sz w:val="16"/>
                <w:szCs w:val="16"/>
                <w:b w:val="1"/>
                <w:bCs w:val="1"/>
                <w:color w:val="auto"/>
                <w:w w:val="99"/>
              </w:rPr>
              <w:t>Current Value</w:t>
            </w:r>
          </w:p>
        </w:tc>
        <w:tc>
          <w:tcPr>
            <w:tcW w:w="0" w:type="dxa"/>
            <w:vAlign w:val="bottom"/>
          </w:tcPr>
          <w:p>
            <w:pPr>
              <w:spacing w:after="0"/>
              <w:rPr>
                <w:sz w:val="1"/>
                <w:szCs w:val="1"/>
                <w:color w:val="auto"/>
              </w:rPr>
            </w:pPr>
          </w:p>
        </w:tc>
      </w:tr>
      <w:tr>
        <w:trPr>
          <w:trHeight w:val="214"/>
        </w:trPr>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5"/>
            <w:vMerge w:val="continue"/>
          </w:tcPr>
          <w:p>
            <w:pPr>
              <w:spacing w:after="0"/>
              <w:rPr>
                <w:sz w:val="18"/>
                <w:szCs w:val="18"/>
                <w:color w:val="auto"/>
              </w:rPr>
            </w:pPr>
          </w:p>
        </w:tc>
        <w:tc>
          <w:tcPr>
            <w:tcW w:w="4740" w:type="dxa"/>
            <w:vAlign w:val="bottom"/>
            <w:tcBorders>
              <w:bottom w:val="single" w:sz="8" w:color="auto"/>
            </w:tcBorders>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Interest, Collateral, Par or Maturity Value</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0" w:type="dxa"/>
            <w:vAlign w:val="bottom"/>
          </w:tcPr>
          <w:p>
            <w:pPr>
              <w:spacing w:after="0"/>
              <w:rPr>
                <w:sz w:val="1"/>
                <w:szCs w:val="1"/>
                <w:color w:val="auto"/>
              </w:rPr>
            </w:pPr>
          </w:p>
        </w:tc>
      </w:tr>
      <w:tr>
        <w:trPr>
          <w:trHeight w:val="191"/>
        </w:trPr>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8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Equity Securities Mutual Funds</w:t>
            </w:r>
          </w:p>
        </w:tc>
        <w:tc>
          <w:tcPr>
            <w:tcW w:w="4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Dodge &amp; Cox Stock Fund</w:t>
            </w:r>
          </w:p>
        </w:tc>
        <w:tc>
          <w:tcPr>
            <w:tcW w:w="2220" w:type="dxa"/>
            <w:vAlign w:val="bottom"/>
            <w:tcBorders>
              <w:top w:val="single" w:sz="8" w:color="CCEEFF"/>
            </w:tcBorders>
            <w:gridSpan w:val="2"/>
          </w:tcPr>
          <w:p>
            <w:pPr>
              <w:spacing w:after="0"/>
              <w:rPr>
                <w:sz w:val="19"/>
                <w:szCs w:val="19"/>
                <w:color w:val="auto"/>
              </w:rPr>
            </w:pPr>
          </w:p>
        </w:tc>
        <w:tc>
          <w:tcPr>
            <w:tcW w:w="47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Institutional Index Fund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DFA U.S. Targeted Value I Fund</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 Extended Market Index Fund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Small Cap Growth Index Fund</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 Fds Euro Pacific Growth R6Fund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DFA Emerg Mkt Core Eqty Portfolio</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Fidelity Global ex US Index Fund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0" w:type="dxa"/>
            <w:vAlign w:val="bottom"/>
          </w:tcPr>
          <w:p>
            <w:pPr>
              <w:spacing w:after="0"/>
              <w:rPr>
                <w:sz w:val="1"/>
                <w:szCs w:val="1"/>
                <w:color w:val="auto"/>
              </w:rPr>
            </w:pPr>
          </w:p>
        </w:tc>
      </w:tr>
      <w:tr>
        <w:trPr>
          <w:trHeight w:val="178"/>
        </w:trPr>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80" w:type="dxa"/>
            <w:vAlign w:val="bottom"/>
            <w:gridSpan w:val="5"/>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Fixed Income Mutual Funds</w:t>
            </w:r>
          </w:p>
        </w:tc>
        <w:tc>
          <w:tcPr>
            <w:tcW w:w="4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PIMCO Total Return Fund</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PIMCO Real Return/Institutional Fund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Mutual Fund</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7"/>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199"/>
        </w:trPr>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Common Collective Trusts</w:t>
            </w:r>
          </w:p>
        </w:tc>
        <w:tc>
          <w:tcPr>
            <w:tcW w:w="2520" w:type="dxa"/>
            <w:vAlign w:val="bottom"/>
            <w:tcBorders>
              <w:bottom w:val="single" w:sz="8" w:color="CCEEFF"/>
            </w:tcBorders>
            <w:gridSpan w:val="4"/>
            <w:shd w:val="clear" w:color="auto" w:fill="CCEEFF"/>
          </w:tcPr>
          <w:p>
            <w:pPr>
              <w:spacing w:after="0"/>
              <w:rPr>
                <w:sz w:val="17"/>
                <w:szCs w:val="17"/>
                <w:color w:val="auto"/>
              </w:rPr>
            </w:pPr>
          </w:p>
        </w:tc>
        <w:tc>
          <w:tcPr>
            <w:tcW w:w="4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Metlife Stable Value Sol J Fd</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Target Retirement Inc Trust II</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2020 Trust II</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2025 Trust II</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2030 Trust II</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2035 Trust II</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2040 Trust II</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2045 Trust II</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2050 Trust II</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2055 Trust II</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2060 Trust II</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2065 Trust II</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Vanguard Target Retirement 2070 Trust II</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Winslow Large Cap Growth C Fd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8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T. Rowe Price Mid-Cap Growth Fund</w:t>
            </w:r>
          </w:p>
        </w:tc>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Galliard Stable Return E</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3"/>
        </w:trPr>
        <w:tc>
          <w:tcPr>
            <w:tcW w:w="3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80" w:type="dxa"/>
            <w:vAlign w:val="bottom"/>
            <w:tcBorders>
              <w:bottom w:val="single" w:sz="8" w:color="CCEEFF"/>
            </w:tcBorders>
            <w:gridSpan w:val="5"/>
          </w:tcPr>
          <w:p>
            <w:pPr>
              <w:ind w:left="120"/>
              <w:spacing w:after="0"/>
              <w:rPr>
                <w:sz w:val="20"/>
                <w:szCs w:val="20"/>
                <w:color w:val="auto"/>
              </w:rPr>
            </w:pPr>
            <w:r>
              <w:rPr>
                <w:rFonts w:ascii="Times New Roman" w:cs="Times New Roman" w:eastAsia="Times New Roman" w:hAnsi="Times New Roman"/>
                <w:sz w:val="16"/>
                <w:szCs w:val="16"/>
                <w:color w:val="auto"/>
              </w:rPr>
              <w:t>TS&amp;W Collective/MID CAP Value TR</w:t>
            </w:r>
          </w:p>
        </w:tc>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Common Collective Trust</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340" w:type="dxa"/>
            <w:vAlign w:val="bottom"/>
            <w:gridSpan w:val="6"/>
          </w:tcPr>
          <w:p>
            <w:pPr>
              <w:ind w:left="60"/>
              <w:spacing w:after="0" w:line="175" w:lineRule="exact"/>
              <w:rPr>
                <w:sz w:val="20"/>
                <w:szCs w:val="20"/>
                <w:color w:val="auto"/>
              </w:rPr>
            </w:pPr>
            <w:r>
              <w:rPr>
                <w:rFonts w:ascii="Times New Roman" w:cs="Times New Roman" w:eastAsia="Times New Roman" w:hAnsi="Times New Roman"/>
                <w:sz w:val="16"/>
                <w:szCs w:val="16"/>
                <w:color w:val="auto"/>
              </w:rPr>
              <w:t>Guaranteed Investment Account</w:t>
            </w:r>
          </w:p>
        </w:tc>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8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John Hancock S Guaranteed</w:t>
            </w:r>
          </w:p>
        </w:tc>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Guaranteed Investment Account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887" w:right="499" w:bottom="1440" w:gutter="0" w:footer="0" w:header="0"/>
        </w:sectPr>
      </w:pP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u w:val="single" w:color="auto"/>
          <w:color w:val="auto"/>
        </w:rPr>
        <w:t>Common Stock</w:t>
      </w:r>
    </w:p>
    <w:p>
      <w:pPr>
        <w:spacing w:after="0" w:line="32" w:lineRule="exact"/>
        <w:rPr>
          <w:sz w:val="20"/>
          <w:szCs w:val="20"/>
          <w:color w:val="auto"/>
        </w:rPr>
      </w:pPr>
    </w:p>
    <w:p>
      <w:pPr>
        <w:ind w:left="500"/>
        <w:spacing w:after="0"/>
        <w:tabs>
          <w:tab w:leader="none" w:pos="720" w:val="left"/>
        </w:tabs>
        <w:rPr>
          <w:sz w:val="20"/>
          <w:szCs w:val="20"/>
          <w:color w:val="auto"/>
        </w:rPr>
      </w:pPr>
      <w:r>
        <w:rPr>
          <w:rFonts w:ascii="Times New Roman" w:cs="Times New Roman" w:eastAsia="Times New Roman" w:hAnsi="Times New Roman"/>
          <w:sz w:val="16"/>
          <w:szCs w:val="16"/>
          <w:color w:val="auto"/>
        </w:rPr>
        <w:t>*</w:t>
        <w:tab/>
        <w:t>Greif, Inc. Class A Common Stock</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u w:val="single" w:color="auto"/>
          <w:color w:val="auto"/>
        </w:rPr>
        <w:t>Loans to Participants</w:t>
      </w:r>
    </w:p>
    <w:p>
      <w:pPr>
        <w:spacing w:after="0" w:line="113" w:lineRule="exact"/>
        <w:rPr>
          <w:sz w:val="20"/>
          <w:szCs w:val="20"/>
          <w:color w:val="auto"/>
        </w:rPr>
      </w:pPr>
    </w:p>
    <w:p>
      <w:pPr>
        <w:ind w:left="500"/>
        <w:spacing w:after="0"/>
        <w:tabs>
          <w:tab w:leader="none" w:pos="720" w:val="left"/>
        </w:tabs>
        <w:rPr>
          <w:sz w:val="20"/>
          <w:szCs w:val="20"/>
          <w:color w:val="auto"/>
        </w:rPr>
      </w:pPr>
      <w:r>
        <w:rPr>
          <w:rFonts w:ascii="Times New Roman" w:cs="Times New Roman" w:eastAsia="Times New Roman" w:hAnsi="Times New Roman"/>
          <w:sz w:val="16"/>
          <w:szCs w:val="16"/>
          <w:color w:val="auto"/>
        </w:rPr>
        <w:t>*</w:t>
        <w:tab/>
        <w:t>Participant notes receivable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60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rates of 4.25% to 9.50%</w:t>
            </w:r>
          </w:p>
        </w:tc>
        <w:tc>
          <w:tcPr>
            <w:tcW w:w="5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Due dates range from 2026-2050</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835.4</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-967740</wp:posOffset>
            </wp:positionV>
            <wp:extent cx="6917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-693420</wp:posOffset>
            </wp:positionV>
            <wp:extent cx="6917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7690" cy="137160"/>
                    </a:xfrm>
                    <a:prstGeom prst="rect">
                      <a:avLst/>
                    </a:prstGeom>
                    <a:noFill/>
                  </pic:spPr>
                </pic:pic>
              </a:graphicData>
            </a:graphic>
          </wp:anchor>
        </w:drawing>
        <w:drawing>
          <wp:anchor simplePos="0" relativeHeight="251657728" behindDoc="1" locked="0" layoutInCell="0" allowOverlap="1">
            <wp:simplePos x="0" y="0"/>
            <wp:positionH relativeFrom="column">
              <wp:posOffset>-3146425</wp:posOffset>
            </wp:positionH>
            <wp:positionV relativeFrom="paragraph">
              <wp:posOffset>-419100</wp:posOffset>
            </wp:positionV>
            <wp:extent cx="691769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420" w:space="720"/>
            <w:col w:w="5940"/>
          </w:cols>
          <w:pgMar w:left="320" w:top="887"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Indicates parties-in-interest to the Plan.</w:t>
      </w:r>
    </w:p>
    <w:p>
      <w:pPr>
        <w:spacing w:after="0" w:line="252" w:lineRule="exact"/>
        <w:rPr>
          <w:sz w:val="20"/>
          <w:szCs w:val="20"/>
          <w:color w:val="auto"/>
        </w:rPr>
      </w:pPr>
    </w:p>
    <w:p>
      <w:pPr>
        <w:ind w:left="5540" w:right="5360" w:hanging="5525"/>
        <w:spacing w:after="0" w:line="454" w:lineRule="auto"/>
        <w:rPr>
          <w:sz w:val="20"/>
          <w:szCs w:val="20"/>
          <w:color w:val="auto"/>
        </w:rPr>
      </w:pPr>
      <w:r>
        <w:rPr>
          <w:rFonts w:ascii="Times New Roman" w:cs="Times New Roman" w:eastAsia="Times New Roman" w:hAnsi="Times New Roman"/>
          <w:sz w:val="18"/>
          <w:szCs w:val="18"/>
          <w:color w:val="auto"/>
        </w:rPr>
        <w:t>See accompanying Report of Independent Registered Public Accounting Firm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87" w:right="4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Greif 401(k) Retirement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7" w:lineRule="exact"/>
        <w:rPr>
          <w:sz w:val="20"/>
          <w:szCs w:val="20"/>
          <w:color w:val="auto"/>
        </w:rPr>
      </w:pPr>
    </w:p>
    <w:p>
      <w:pPr>
        <w:ind w:left="900"/>
        <w:spacing w:after="0"/>
        <w:tabs>
          <w:tab w:leader="none" w:pos="1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Bala Sathyanarayanan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-19050</wp:posOffset>
            </wp:positionV>
            <wp:extent cx="17259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ind w:left="900"/>
        <w:spacing w:after="0"/>
        <w:tabs>
          <w:tab w:leader="none" w:pos="216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8"/>
          <w:szCs w:val="18"/>
          <w:b w:val="1"/>
          <w:bCs w:val="1"/>
          <w:color w:val="auto"/>
        </w:rPr>
        <w:t>Bala Sathyanarayanan</w:t>
      </w:r>
    </w:p>
    <w:p>
      <w:pPr>
        <w:spacing w:after="0" w:line="9"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Executive Vice President, CHRO</w:t>
      </w:r>
    </w:p>
    <w:p>
      <w:pPr>
        <w:sectPr>
          <w:pgSz w:w="11900" w:h="16838" w:orient="portrait"/>
          <w:cols w:equalWidth="0" w:num="1">
            <w:col w:w="11240"/>
          </w:cols>
          <w:pgMar w:left="320" w:top="88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Greif 401(k) Retirement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Ohio</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(333-35048) of Greif, Inc. of our report dated June 22, 2026, relating to the financial statements and supplemental schedule of the Greif 401(k) Retirement Plan which appear in this Form 11-K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GBQ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2026-06-22T16:44:47Z</dcterms:created>
  <dcterms:modified xsi:type="dcterms:W3CDTF">2026-06-22T16:44:47Z</dcterms:modified>
</cp:coreProperties>
</file>