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Hilsheimer Lawrence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425 WINTER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DELAWARE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GREIF,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GEF, GEF-B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34"/>
        <w:gridCol w:w="902"/>
        <w:gridCol w:w="776"/>
        <w:gridCol w:w="598"/>
        <w:gridCol w:w="326"/>
        <w:gridCol w:w="1282"/>
        <w:gridCol w:w="391"/>
        <w:gridCol w:w="927"/>
        <w:gridCol w:w="1455"/>
        <w:gridCol w:w="921"/>
        <w:gridCol w:w="8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6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20,254.129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88.51</w:t>
            </w:r>
          </w:p>
        </w:tc>
        <w:tc>
          <w:tcPr>
            <w:tcW w:w="1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47,325.2227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88.6617</w:t>
            </w:r>
          </w:p>
        </w:tc>
        <w:tc>
          <w:tcPr>
            <w:tcW w:w="1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25,825.2227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1,236.3903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17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11,475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207,416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intends to use the net proceeds from this sale primarily to facilitate a repayment of a home renovation loan.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Due to an administrative error, the reporting person's beneficial holdings of Class A stock were previously underreported by 74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Lawrence A. Hilsheimer by L. Dennis Hoffman, Jr. pursuant to a POA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4433" TargetMode="External"/><Relationship Id="rId5" Type="http://schemas.openxmlformats.org/officeDocument/2006/relationships/hyperlink" Target="http://www.sec.gov/cgi-bin/browse-edgar?action=getcompany&amp;CIK=0000043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3517</Characters>
  <CharactersWithSpaces>4086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