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55880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9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73660</wp:posOffset>
            </wp:positionV>
            <wp:extent cx="4166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50" w:lineRule="exact"/>
        <w:rPr>
          <w:sz w:val="24"/>
          <w:szCs w:val="24"/>
          <w:color w:val="auto"/>
        </w:rPr>
      </w:pPr>
    </w:p>
    <w:p>
      <w:pPr>
        <w:ind w:left="4120"/>
        <w:spacing w:after="0"/>
        <w:tabs>
          <w:tab w:leader="none" w:pos="6020" w:val="left"/>
        </w:tabs>
        <w:rPr>
          <w:sz w:val="20"/>
          <w:szCs w:val="20"/>
          <w:color w:val="auto"/>
        </w:rPr>
      </w:pPr>
      <w:r>
        <w:rPr>
          <w:rFonts w:ascii="Times New Roman" w:cs="Times New Roman" w:eastAsia="Times New Roman" w:hAnsi="Times New Roman"/>
          <w:sz w:val="18"/>
          <w:szCs w:val="18"/>
          <w:b w:val="1"/>
          <w:bCs w:val="1"/>
          <w:color w:val="auto"/>
        </w:rPr>
        <w:t>May 14, 2026</w:t>
      </w:r>
      <w:r>
        <w:rPr>
          <w:sz w:val="20"/>
          <w:szCs w:val="20"/>
          <w:color w:val="auto"/>
        </w:rPr>
        <w:tab/>
      </w:r>
      <w:r>
        <w:rPr>
          <w:rFonts w:ascii="Times New Roman" w:cs="Times New Roman" w:eastAsia="Times New Roman" w:hAnsi="Times New Roman"/>
          <w:sz w:val="17"/>
          <w:szCs w:val="17"/>
          <w:b w:val="1"/>
          <w:bCs w:val="1"/>
          <w:color w:val="auto"/>
        </w:rPr>
        <w:t>(May 11, 2026)</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105410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208280</wp:posOffset>
            </wp:positionV>
            <wp:extent cx="185166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GREIF,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55880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p>
      <w:pPr>
        <w:spacing w:after="0" w:line="2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001-00566</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31-4388903</w:t>
      </w:r>
    </w:p>
    <w:p>
      <w:pPr>
        <w:spacing w:after="0" w:line="31" w:lineRule="exact"/>
        <w:rPr>
          <w:sz w:val="24"/>
          <w:szCs w:val="24"/>
          <w:color w:val="auto"/>
        </w:rPr>
      </w:pPr>
    </w:p>
    <w:p>
      <w:pPr>
        <w:sectPr>
          <w:pgSz w:w="11900" w:h="16838" w:orient="portrait"/>
          <w:cols w:equalWidth="0" w:num="3">
            <w:col w:w="4500" w:space="720"/>
            <w:col w:w="2980" w:space="720"/>
            <w:col w:w="2320"/>
          </w:cols>
          <w:pgMar w:left="320" w:top="1067"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54" w:lineRule="exact"/>
        <w:rPr>
          <w:sz w:val="24"/>
          <w:szCs w:val="24"/>
          <w:color w:val="auto"/>
        </w:rPr>
      </w:pPr>
    </w:p>
    <w:p>
      <w:pPr>
        <w:sectPr>
          <w:pgSz w:w="11900" w:h="16838" w:orient="portrait"/>
          <w:cols w:equalWidth="0" w:num="3">
            <w:col w:w="4060" w:space="720"/>
            <w:col w:w="2820" w:space="720"/>
            <w:col w:w="2920"/>
          </w:cols>
          <w:pgMar w:left="320" w:top="1067" w:right="339" w:bottom="1440" w:gutter="0" w:footer="0" w:header="0"/>
          <w:type w:val="continuous"/>
        </w:sectPr>
      </w:pPr>
    </w:p>
    <w:p>
      <w:pPr>
        <w:ind w:left="3480"/>
        <w:spacing w:after="0"/>
        <w:rPr>
          <w:sz w:val="20"/>
          <w:szCs w:val="20"/>
          <w:color w:val="auto"/>
        </w:rPr>
      </w:pPr>
      <w:r>
        <w:rPr>
          <w:rFonts w:ascii="Times New Roman" w:cs="Times New Roman" w:eastAsia="Times New Roman" w:hAnsi="Times New Roman"/>
          <w:sz w:val="17"/>
          <w:szCs w:val="17"/>
          <w:b w:val="1"/>
          <w:bCs w:val="1"/>
          <w:color w:val="auto"/>
        </w:rPr>
        <w:t>425 Winter Road, Delaware Ohio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43015</w:t>
      </w:r>
    </w:p>
    <w:p>
      <w:pPr>
        <w:spacing w:after="0" w:line="43" w:lineRule="exact"/>
        <w:rPr>
          <w:sz w:val="24"/>
          <w:szCs w:val="24"/>
          <w:color w:val="auto"/>
        </w:rPr>
      </w:pPr>
    </w:p>
    <w:p>
      <w:pPr>
        <w:sectPr>
          <w:pgSz w:w="11900" w:h="16838" w:orient="portrait"/>
          <w:cols w:equalWidth="0" w:num="2">
            <w:col w:w="6540" w:space="720"/>
            <w:col w:w="3980"/>
          </w:cols>
          <w:pgMar w:left="320" w:top="1067" w:right="339" w:bottom="1440" w:gutter="0" w:footer="0" w:header="0"/>
          <w:type w:val="continuous"/>
        </w:sectPr>
      </w:pPr>
    </w:p>
    <w:p>
      <w:pPr>
        <w:ind w:left="3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6420" w:space="720"/>
            <w:col w:w="4100"/>
          </w:cols>
          <w:pgMar w:left="320" w:top="1067" w:right="339" w:bottom="1440" w:gutter="0" w:footer="0" w:header="0"/>
          <w:type w:val="continuous"/>
        </w:sectPr>
      </w:pP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(740) 549-6000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71120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98" w:lineRule="exact"/>
        <w:rPr>
          <w:sz w:val="24"/>
          <w:szCs w:val="24"/>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firstLine="22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16"/>
        </w:trPr>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760" w:type="dxa"/>
            <w:vAlign w:val="bottom"/>
          </w:tcPr>
          <w:p>
            <w:pPr>
              <w:spacing w:after="0"/>
              <w:rPr>
                <w:sz w:val="18"/>
                <w:szCs w:val="18"/>
                <w:color w:val="auto"/>
              </w:rPr>
            </w:pPr>
          </w:p>
        </w:tc>
        <w:tc>
          <w:tcPr>
            <w:tcW w:w="34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5"/>
        </w:trPr>
        <w:tc>
          <w:tcPr>
            <w:tcW w:w="23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Class A Common Stock</w:t>
            </w:r>
          </w:p>
        </w:tc>
        <w:tc>
          <w:tcPr>
            <w:tcW w:w="1300" w:type="dxa"/>
            <w:vAlign w:val="bottom"/>
          </w:tcPr>
          <w:p>
            <w:pPr>
              <w:spacing w:after="0"/>
              <w:rPr>
                <w:sz w:val="21"/>
                <w:szCs w:val="21"/>
                <w:color w:val="auto"/>
              </w:rPr>
            </w:pPr>
          </w:p>
        </w:tc>
        <w:tc>
          <w:tcPr>
            <w:tcW w:w="21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GEF</w:t>
            </w:r>
          </w:p>
        </w:tc>
        <w:tc>
          <w:tcPr>
            <w:tcW w:w="7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23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Class B Common Stock</w:t>
            </w:r>
          </w:p>
        </w:tc>
        <w:tc>
          <w:tcPr>
            <w:tcW w:w="1300" w:type="dxa"/>
            <w:vAlign w:val="bottom"/>
          </w:tcPr>
          <w:p>
            <w:pPr>
              <w:spacing w:after="0"/>
              <w:rPr>
                <w:sz w:val="20"/>
                <w:szCs w:val="20"/>
                <w:color w:val="auto"/>
              </w:rPr>
            </w:pPr>
          </w:p>
        </w:tc>
        <w:tc>
          <w:tcPr>
            <w:tcW w:w="212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GEF-B</w:t>
            </w:r>
          </w:p>
        </w:tc>
        <w:tc>
          <w:tcPr>
            <w:tcW w:w="7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9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Registrant's Business and Operations</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Transfer and Administration Agreement</w:t>
      </w:r>
    </w:p>
    <w:p>
      <w:pPr>
        <w:spacing w:after="0" w:line="2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May 11, 2026, certain U.S. subsidiaries of Greif, Inc. (the “Company”) amended and restated the existing receivables financing facility (the “Receivables Facility”). Greif Receivables Funding LLC (“Greif Funding”), Greif Packaging LLC (“Greif Packaging”), for itself and as servicer, and certain other U.S. subsidiaries of the Company entered into a Fourth Amended and Restated Transfer and Administration Agreement, dated as of May 11, 2026 (the “Fourth Amended TAA”), with PNC Bank, National Association (“PNC”), as the agent, managing agent, administrator and committed investor, and various investor groups, managing agents, and administrators, from time to time parties thereto. The Fourth Amended TAA replaced in its entirety the Existing TAA (as defined below in Item 1.02 to this Current Report on Form 8-K), which provided for a $275 million Receivables Facility. The Fourth Amended TAA will provide for a $200 million Receivables Facility.</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Greif Funding is a direct subsidiary of Greif Packaging and is included in the Company’s consolidated financial statements. However, because Greif Funding is a separate and distinct legal entity from the Company, the assets of Greif Funding are not available to satisfy the liabilities and obligations of the Company, Greif Packaging or other subsidiaries of the Company, and the liabilities of Greif Funding are not the liabilities or obligations of the Company or its other subsidiaries.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Fourth Amended TAA provides for the ongoing purchase by PNC of receivables from Greif Funding, which Greif Funding will have purchased from Greif Packaging and certain other U.S. subsidiaries of the Company as the originators under the Fourth Amended and Restated Sale Agreement, dated as of May 11, 2026 (the “Fourth Amended Sale Agreement”). Greif Packaging will service and collect on behalf of Greif Funding those receivables sold to Greif Funding under the Fourth Amended Sale Agreement. The commitment termination date of the Receivables Facility is May 11, 2027, subject to earlier termination as provided in the Fourth Amended TAA (including acceleration upon an event of default as provided therein), or such later date to which the purchase commitment may be extended by agreement of the parties. In addition, Greif Funding may terminate the Receivables Facility at any time upon five days’ prior written notice. The Company has guaranteed the performance by Greif Funding, Greif Packaging and its other participating subsidiaries of their respective obligations under the Fourth Amended TAA, the Fourth Amended Sale Agreement and related agreements thereto, but has not guaranteed the collectability of the receivables thereunder. A significant portion of the proceeds from the Receivables Facility was used to pay the obligations under the Existing TAA, as described below in Item 1.02 to this Current Report on Form 8-K. The remaining proceeds will be used to pay certain fees, costs and expenses incurred in connection with the Receivables Facility and for working capital and general corporate purposes of the Company and its subsidiaries.</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Receivables Facility is secured by certain trade accounts receivables related to the Customized Polymer Solutions, Durable Metal Solutions, Sustainable Fiber Solutions and Innovative Closure Solutions businesses of Greif Packaging and other subsidiaries of the Company in the United States and bears interest at a variable rate based on the secured overnight financing rate administered by the Federal Reserve Bank of New York (or a successor administrator of the secured overnight financing rate) or an applicable base rate, plus a margin, or a commercial paper rate, all as provided in the Fourth Amended TAA. Interest is payable on a monthly basis and the principal balance is payable upon termination of the Receivables Facility.</w:t>
      </w:r>
    </w:p>
    <w:p>
      <w:pPr>
        <w:spacing w:after="0" w:line="1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Greif Funding, Greif Packaging and certain other U.S. subsidiaries of the Company entered into a Third Amended and Restated Transfer and Administration Agreement dated as of September 24, 2019 (the “Existing TAA”), with Bank of America, N.A., providing for a $275 million receivables facility. On May 11, 2026, the obligations outstanding under the Existing TAA were satisfied by the assignment to and assumption of such obligations by the Receivables Facility, and the Existing TAA was terminated as of that date. See Item 1.01 to this current report on form 8-K above, for a discussion of the Receivables Facility and the Fourth Amended TAA.</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Existing TAA provided for a $275 million receivables financing facility for the Company and certain of its U.S. subsidiaries. The Existing TAA had a maturity date of May 15, 2026, but the parties terminated the Existing TAA by mutual consent on May 11, 2026. No material early termination penalty was incurred by the Company or any of its subsidiaries in connection with the termination of the Existing TAA.</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b w:val="1"/>
          <w:bCs w:val="1"/>
          <w:color w:val="auto"/>
        </w:rPr>
        <w:t>(A) Creation of a Direct Financial Obligation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concerning the Company’s Fourth Amended TAA is set forth in Item 10.1, which information is incorporated herein by reference.</w:t>
      </w:r>
    </w:p>
    <w:p>
      <w:pPr>
        <w:spacing w:after="0" w:line="248" w:lineRule="exact"/>
        <w:rPr>
          <w:sz w:val="20"/>
          <w:szCs w:val="20"/>
          <w:color w:val="auto"/>
        </w:rPr>
      </w:pPr>
    </w:p>
    <w:p>
      <w:pPr>
        <w:ind w:left="1180" w:right="20" w:hanging="1619"/>
        <w:spacing w:after="0" w:line="271"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2.04.</w:t>
      </w:r>
      <w:r>
        <w:rPr>
          <w:sz w:val="20"/>
          <w:szCs w:val="20"/>
          <w:color w:val="auto"/>
        </w:rPr>
        <w:tab/>
      </w:r>
      <w:r>
        <w:rPr>
          <w:rFonts w:ascii="Times New Roman" w:cs="Times New Roman" w:eastAsia="Times New Roman" w:hAnsi="Times New Roman"/>
          <w:sz w:val="18"/>
          <w:szCs w:val="18"/>
          <w:b w:val="1"/>
          <w:bCs w:val="1"/>
          <w:color w:val="auto"/>
        </w:rPr>
        <w:t>Triggering Events That Accelerate or Increase a Direct Financial Obligation or an Obligation under an Off-Balance Sheet Arrangement.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Creation of a Direct Financial Obligation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concerning the satisfaction of the Company’s obligations under the Existing TAA is set forth in Items 10.1 and 10.2, which information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20" w:type="dxa"/>
            <w:vAlign w:val="bottom"/>
          </w:tcPr>
          <w:p>
            <w:pPr>
              <w:spacing w:after="0"/>
              <w:rPr>
                <w:sz w:val="13"/>
                <w:szCs w:val="13"/>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186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Amended and Restated Sale Agreement, dated May 11, 2026, by and among Greif Packaging LLC,</w:t>
            </w: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American Flange &amp; Manufacturing Co., Inc., Caraustar Mill Group, Inc., Caraustar Industrial and Consumer</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Products Group, Inc., Caraustar Recovered Fiber Group, Inc., The Newark Group, Inc., Caraustar Consumer</w:t>
            </w:r>
          </w:p>
        </w:tc>
        <w:tc>
          <w:tcPr>
            <w:tcW w:w="0" w:type="dxa"/>
            <w:vAlign w:val="bottom"/>
          </w:tcPr>
          <w:p>
            <w:pPr>
              <w:spacing w:after="0"/>
              <w:rPr>
                <w:sz w:val="1"/>
                <w:szCs w:val="1"/>
                <w:color w:val="auto"/>
              </w:rPr>
            </w:pPr>
          </w:p>
        </w:tc>
      </w:tr>
      <w:tr>
        <w:trPr>
          <w:trHeight w:val="184"/>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Products Group, LLC, Cascade Paper Converters Co., Container Life Cycle Management LLC, Lee Container,</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LLC, Lee Container Iowa, LLC, and each other entity from time to time party hereto as an Originator, as</w:t>
            </w:r>
          </w:p>
        </w:tc>
        <w:tc>
          <w:tcPr>
            <w:tcW w:w="0" w:type="dxa"/>
            <w:vAlign w:val="bottom"/>
          </w:tcPr>
          <w:p>
            <w:pPr>
              <w:spacing w:after="0"/>
              <w:rPr>
                <w:sz w:val="1"/>
                <w:szCs w:val="1"/>
                <w:color w:val="auto"/>
              </w:rPr>
            </w:pPr>
          </w:p>
        </w:tc>
      </w:tr>
      <w:tr>
        <w:trPr>
          <w:trHeight w:val="225"/>
        </w:trPr>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Originators and Greif Receivables Funding LLC.</w:t>
            </w:r>
          </w:p>
        </w:tc>
        <w:tc>
          <w:tcPr>
            <w:tcW w:w="0" w:type="dxa"/>
            <w:vAlign w:val="bottom"/>
          </w:tcPr>
          <w:p>
            <w:pPr>
              <w:spacing w:after="0"/>
              <w:rPr>
                <w:sz w:val="1"/>
                <w:szCs w:val="1"/>
                <w:color w:val="auto"/>
              </w:rPr>
            </w:pPr>
          </w:p>
        </w:tc>
      </w:tr>
      <w:tr>
        <w:trPr>
          <w:trHeight w:val="194"/>
        </w:trPr>
        <w:tc>
          <w:tcPr>
            <w:tcW w:w="600" w:type="dxa"/>
            <w:vAlign w:val="bottom"/>
          </w:tcPr>
          <w:p>
            <w:pPr>
              <w:spacing w:after="0"/>
              <w:rPr>
                <w:sz w:val="16"/>
                <w:szCs w:val="16"/>
                <w:color w:val="auto"/>
              </w:rPr>
            </w:pPr>
          </w:p>
        </w:tc>
        <w:tc>
          <w:tcPr>
            <w:tcW w:w="1860" w:type="dxa"/>
            <w:vAlign w:val="bottom"/>
            <w:gridSpan w:val="4"/>
          </w:tcPr>
          <w:p>
            <w:pPr>
              <w:jc w:val="right"/>
              <w:ind w:right="50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2</w:t>
            </w:r>
          </w:p>
        </w:tc>
        <w:tc>
          <w:tcPr>
            <w:tcW w:w="220" w:type="dxa"/>
            <w:vAlign w:val="bottom"/>
          </w:tcPr>
          <w:p>
            <w:pPr>
              <w:spacing w:after="0"/>
              <w:rPr>
                <w:sz w:val="16"/>
                <w:szCs w:val="16"/>
                <w:color w:val="auto"/>
              </w:rPr>
            </w:pPr>
          </w:p>
        </w:tc>
        <w:tc>
          <w:tcPr>
            <w:tcW w:w="80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Fourth Amended and Restated Transfer and Administration Agreement, dated May 11, 2026, by and among</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Greif Receivables Funding LLC, Greif Packaging LLC, American Flange &amp; Manufacturing Co. Inc., Caraustar</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Mill Group, Inc., Caraustar Industrial and Consumer Products Group, Inc., Caraustar Recovered Fiber Group,</w:t>
            </w:r>
          </w:p>
        </w:tc>
        <w:tc>
          <w:tcPr>
            <w:tcW w:w="0" w:type="dxa"/>
            <w:vAlign w:val="bottom"/>
          </w:tcPr>
          <w:p>
            <w:pPr>
              <w:spacing w:after="0"/>
              <w:rPr>
                <w:sz w:val="1"/>
                <w:szCs w:val="1"/>
                <w:color w:val="auto"/>
              </w:rPr>
            </w:pPr>
          </w:p>
        </w:tc>
      </w:tr>
      <w:tr>
        <w:trPr>
          <w:trHeight w:val="184"/>
        </w:trPr>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Inc., The Newark Group, Inc., Caraustar Consumer Products Group, LLC, Cascade Paper Converters Co.,</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Container Life Cycle Management LLC, Lee Container, LLC, Lee Container Iowa, LLC, and each other entity</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from time to time party hereto as an Originator, as Originators, PNC Bank, National Association, and the</w:t>
            </w:r>
          </w:p>
        </w:tc>
        <w:tc>
          <w:tcPr>
            <w:tcW w:w="0" w:type="dxa"/>
            <w:vAlign w:val="bottom"/>
          </w:tcPr>
          <w:p>
            <w:pPr>
              <w:spacing w:after="0"/>
              <w:rPr>
                <w:sz w:val="1"/>
                <w:szCs w:val="1"/>
                <w:color w:val="auto"/>
              </w:rPr>
            </w:pPr>
          </w:p>
        </w:tc>
      </w:tr>
      <w:tr>
        <w:trPr>
          <w:trHeight w:val="23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w:t>
            </w:r>
          </w:p>
        </w:tc>
        <w:tc>
          <w:tcPr>
            <w:tcW w:w="1860" w:type="dxa"/>
            <w:vAlign w:val="bottom"/>
            <w:gridSpan w:val="4"/>
            <w:vMerge w:val="restart"/>
          </w:tcPr>
          <w:p>
            <w:pPr>
              <w:ind w:left="380"/>
              <w:spacing w:after="0"/>
              <w:rPr>
                <w:sz w:val="20"/>
                <w:szCs w:val="20"/>
                <w:color w:val="auto"/>
              </w:rPr>
            </w:pPr>
            <w:r>
              <w:rPr>
                <w:rFonts w:ascii="Times New Roman" w:cs="Times New Roman" w:eastAsia="Times New Roman" w:hAnsi="Times New Roman"/>
                <w:sz w:val="18"/>
                <w:szCs w:val="18"/>
                <w:color w:val="auto"/>
              </w:rPr>
              <w:t>Exhibits.</w:t>
            </w:r>
          </w:p>
        </w:tc>
        <w:tc>
          <w:tcPr>
            <w:tcW w:w="22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various investor groups, managing agents and administrators from time to time parties here to.</w:t>
            </w:r>
          </w:p>
        </w:tc>
        <w:tc>
          <w:tcPr>
            <w:tcW w:w="0" w:type="dxa"/>
            <w:vAlign w:val="bottom"/>
          </w:tcPr>
          <w:p>
            <w:pPr>
              <w:spacing w:after="0"/>
              <w:rPr>
                <w:sz w:val="1"/>
                <w:szCs w:val="1"/>
                <w:color w:val="auto"/>
              </w:rPr>
            </w:pPr>
          </w:p>
        </w:tc>
      </w:tr>
      <w:tr>
        <w:trPr>
          <w:trHeight w:val="103"/>
        </w:trPr>
        <w:tc>
          <w:tcPr>
            <w:tcW w:w="600" w:type="dxa"/>
            <w:vAlign w:val="bottom"/>
            <w:vMerge w:val="continue"/>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9"/>
        </w:trPr>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GREIF, INC.</w:t>
      </w:r>
    </w:p>
    <w:p>
      <w:pPr>
        <w:spacing w:after="0" w:line="27" w:lineRule="exact"/>
        <w:rPr>
          <w:sz w:val="20"/>
          <w:szCs w:val="20"/>
          <w:color w:val="auto"/>
        </w:rPr>
      </w:pPr>
    </w:p>
    <w:p>
      <w:pPr>
        <w:ind w:left="20"/>
        <w:spacing w:after="0"/>
        <w:tabs>
          <w:tab w:leader="none" w:pos="5860" w:val="left"/>
          <w:tab w:leader="none" w:pos="628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6300"/>
        <w:spacing w:after="0"/>
        <w:rPr>
          <w:sz w:val="20"/>
          <w:szCs w:val="20"/>
          <w:color w:val="auto"/>
        </w:rPr>
      </w:pPr>
      <w:r>
        <w:rPr>
          <w:rFonts w:ascii="Times New Roman" w:cs="Times New Roman" w:eastAsia="Times New Roman" w:hAnsi="Times New Roman"/>
          <w:sz w:val="18"/>
          <w:szCs w:val="18"/>
          <w:color w:val="auto"/>
        </w:rPr>
        <w:t>Lawrence A. Hilsheimer,</w:t>
      </w:r>
    </w:p>
    <w:p>
      <w:pPr>
        <w:ind w:left="6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Fourth Amended and Restated Sale Agreement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by and between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GREIF PACKAGING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FLANGE &amp; MANUFACTURING CO.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CARAUSTAR MILL GROUP,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CARAUSTAR INDUSTRIAL AND CONSUMER PRODUCTS GROUP,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CARAUSTAR RECOVERED FIBER GROUP,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NEWARK GROUP,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CARAUSTAR CONSUMER PRODUCTS GROUP, LLC,</w:t>
      </w:r>
    </w:p>
    <w:p>
      <w:pPr>
        <w:spacing w:after="0" w:line="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CASCADE PAPER CONVERTERS CO.,</w:t>
      </w:r>
    </w:p>
    <w:p>
      <w:pPr>
        <w:spacing w:after="0" w:line="1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CONTAINER LIFE CYCLE MANAGEMENT LLC,</w:t>
      </w:r>
    </w:p>
    <w:p>
      <w:pPr>
        <w:spacing w:after="0" w:line="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LEE CONTAINER, LLC,</w:t>
      </w:r>
    </w:p>
    <w:p>
      <w:pPr>
        <w:spacing w:after="0" w:line="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LEE CONTAINER IOWA, LLC,</w:t>
      </w:r>
    </w:p>
    <w:p>
      <w:pPr>
        <w:spacing w:after="0" w:line="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and each other entity from time to time party hereto as an Originator,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Originators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Greif Receivables Funding LLC</w:t>
      </w:r>
      <w:r>
        <w:rPr>
          <w:rFonts w:ascii="Times New Roman" w:cs="Times New Roman" w:eastAsia="Times New Roman" w:hAnsi="Times New Roman"/>
          <w:sz w:val="25"/>
          <w:szCs w:val="25"/>
          <w:color w:val="auto"/>
        </w:rPr>
        <w: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as the SPV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465455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1.1</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Definitions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1.2</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Other Terms</w:t>
            </w:r>
          </w:p>
        </w:tc>
        <w:tc>
          <w:tcPr>
            <w:tcW w:w="140" w:type="dxa"/>
            <w:vAlign w:val="bottom"/>
          </w:tcPr>
          <w:p>
            <w:pPr>
              <w:spacing w:after="0"/>
              <w:rPr>
                <w:sz w:val="24"/>
                <w:szCs w:val="24"/>
                <w:color w:val="auto"/>
              </w:rPr>
            </w:pP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4</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w:t>
            </w: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Computation of Time Periods</w:t>
            </w:r>
          </w:p>
        </w:tc>
        <w:tc>
          <w:tcPr>
            <w:tcW w:w="6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5</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54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II  SALE AND PURCHASE OF RECEIVABLES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2.1</w:t>
            </w: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Sale</w:t>
            </w:r>
          </w:p>
        </w:tc>
        <w:tc>
          <w:tcPr>
            <w:tcW w:w="6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5</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2.2</w:t>
            </w:r>
          </w:p>
        </w:tc>
        <w:tc>
          <w:tcPr>
            <w:tcW w:w="536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Intent of the Parties; Grant of Security Interest  6</w:t>
            </w:r>
          </w:p>
        </w:tc>
      </w:tr>
      <w:tr>
        <w:trPr>
          <w:trHeight w:val="378"/>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2.3</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No Recourse</w:t>
            </w:r>
          </w:p>
        </w:tc>
        <w:tc>
          <w:tcPr>
            <w:tcW w:w="140" w:type="dxa"/>
            <w:vAlign w:val="bottom"/>
          </w:tcPr>
          <w:p>
            <w:pPr>
              <w:spacing w:after="0"/>
              <w:rPr>
                <w:sz w:val="24"/>
                <w:szCs w:val="24"/>
                <w:color w:val="auto"/>
              </w:rPr>
            </w:pP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6</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2.4</w:t>
            </w: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9"/>
              </w:rPr>
              <w:t>No Assumption of Obligations</w:t>
            </w:r>
          </w:p>
        </w:tc>
        <w:tc>
          <w:tcPr>
            <w:tcW w:w="6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6</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2.5</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UCC Filing</w:t>
            </w:r>
          </w:p>
        </w:tc>
        <w:tc>
          <w:tcPr>
            <w:tcW w:w="50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6</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48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III  CONSIDERATION AND PAYMENT</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3.1</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8"/>
              </w:rPr>
              <w:t>Purchase Price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3.2</w:t>
            </w: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Subordination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410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ADMINISTRATION AND COLLECTION</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4.1</w:t>
            </w: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Servicing of Receivables  9</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4.2</w:t>
            </w: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Deemed Collections  9</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4.3</w:t>
            </w: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Actions Evidencing Purchases</w:t>
            </w: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54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V  REPRESENTATIONS AND WARRANTIES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5.1</w:t>
            </w:r>
          </w:p>
        </w:tc>
        <w:tc>
          <w:tcPr>
            <w:tcW w:w="37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Mutual Representations and Warranties</w:t>
            </w:r>
          </w:p>
        </w:tc>
        <w:tc>
          <w:tcPr>
            <w:tcW w:w="16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w w:val="90"/>
              </w:rPr>
              <w:t>10</w:t>
            </w: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5.2</w:t>
            </w:r>
          </w:p>
        </w:tc>
        <w:tc>
          <w:tcPr>
            <w:tcW w:w="536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w w:val="99"/>
              </w:rPr>
              <w:t>Originators’ Additional Representations and Warranties  12</w:t>
            </w:r>
          </w:p>
        </w:tc>
      </w:tr>
      <w:tr>
        <w:trPr>
          <w:trHeight w:val="364"/>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5.3</w:t>
            </w: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Notice of Breach</w:t>
            </w:r>
          </w:p>
        </w:tc>
        <w:tc>
          <w:tcPr>
            <w:tcW w:w="10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16</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COVENANTS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6.1</w:t>
            </w: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Mutual Covenants</w:t>
            </w:r>
          </w:p>
        </w:tc>
        <w:tc>
          <w:tcPr>
            <w:tcW w:w="10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16</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6.2</w:t>
            </w:r>
          </w:p>
        </w:tc>
        <w:tc>
          <w:tcPr>
            <w:tcW w:w="37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8"/>
              </w:rPr>
              <w:t>Affirmative Covenants of the Originators</w:t>
            </w:r>
          </w:p>
        </w:tc>
        <w:tc>
          <w:tcPr>
            <w:tcW w:w="164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16</w:t>
            </w: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6.3</w:t>
            </w:r>
          </w:p>
        </w:tc>
        <w:tc>
          <w:tcPr>
            <w:tcW w:w="346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w w:val="98"/>
              </w:rPr>
              <w:t>Negative Covenants of the Originators</w:t>
            </w:r>
          </w:p>
        </w:tc>
        <w:tc>
          <w:tcPr>
            <w:tcW w:w="1900" w:type="dxa"/>
            <w:vAlign w:val="bottom"/>
            <w:gridSpan w:val="2"/>
          </w:tcPr>
          <w:p>
            <w:pPr>
              <w:jc w:val="right"/>
              <w:ind w:right="1372"/>
              <w:spacing w:after="0"/>
              <w:rPr>
                <w:sz w:val="20"/>
                <w:szCs w:val="20"/>
                <w:color w:val="auto"/>
              </w:rPr>
            </w:pPr>
            <w:r>
              <w:rPr>
                <w:rFonts w:ascii="Times New Roman" w:cs="Times New Roman" w:eastAsia="Times New Roman" w:hAnsi="Times New Roman"/>
                <w:sz w:val="22"/>
                <w:szCs w:val="22"/>
                <w:color w:val="auto"/>
              </w:rPr>
              <w:t>18</w:t>
            </w:r>
          </w:p>
        </w:tc>
      </w:tr>
      <w:tr>
        <w:trPr>
          <w:trHeight w:val="364"/>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3460" w:type="dxa"/>
            <w:vAlign w:val="bottom"/>
            <w:gridSpan w:val="6"/>
          </w:tcPr>
          <w:p>
            <w:pPr>
              <w:jc w:val="right"/>
              <w:ind w:right="592"/>
              <w:spacing w:after="0"/>
              <w:rPr>
                <w:sz w:val="20"/>
                <w:szCs w:val="20"/>
                <w:color w:val="auto"/>
              </w:rPr>
            </w:pPr>
            <w:r>
              <w:rPr>
                <w:rFonts w:ascii="Times New Roman" w:cs="Times New Roman" w:eastAsia="Times New Roman" w:hAnsi="Times New Roman"/>
                <w:sz w:val="22"/>
                <w:szCs w:val="22"/>
                <w:color w:val="auto"/>
              </w:rPr>
              <w:t>TERM AND TERMINATION</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7.1</w:t>
            </w: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Term</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5"/>
        </w:trPr>
        <w:tc>
          <w:tcPr>
            <w:tcW w:w="20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7.2</w:t>
            </w:r>
          </w:p>
        </w:tc>
        <w:tc>
          <w:tcPr>
            <w:tcW w:w="346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Effect of Purchase Termination Date</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21</w:t>
            </w:r>
          </w:p>
        </w:tc>
        <w:tc>
          <w:tcPr>
            <w:tcW w:w="1640" w:type="dxa"/>
            <w:vAlign w:val="bottom"/>
          </w:tcPr>
          <w:p>
            <w:pPr>
              <w:spacing w:after="0"/>
              <w:rPr>
                <w:sz w:val="24"/>
                <w:szCs w:val="24"/>
                <w:color w:val="auto"/>
              </w:rPr>
            </w:pPr>
          </w:p>
        </w:tc>
      </w:tr>
      <w:tr>
        <w:trPr>
          <w:trHeight w:val="37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8"/>
              </w:rPr>
              <w:t>ARTICLE VIII</w:t>
            </w: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INDEMNIFICATION</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140"/>
          </w:cols>
          <w:pgMar w:left="320" w:top="12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140"/>
          </w:cols>
          <w:pgMar w:left="320" w:top="122" w:right="43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8.1</w:t>
            </w: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Indemnities by the Originator  21</w:t>
            </w:r>
          </w:p>
        </w:tc>
        <w:tc>
          <w:tcPr>
            <w:tcW w:w="800" w:type="dxa"/>
            <w:vAlign w:val="bottom"/>
          </w:tcPr>
          <w:p>
            <w:pPr>
              <w:spacing w:after="0"/>
              <w:rPr>
                <w:sz w:val="24"/>
                <w:szCs w:val="24"/>
                <w:color w:val="auto"/>
              </w:rPr>
            </w:pPr>
          </w:p>
        </w:tc>
      </w:tr>
      <w:tr>
        <w:trPr>
          <w:trHeight w:val="378"/>
        </w:trPr>
        <w:tc>
          <w:tcPr>
            <w:tcW w:w="4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IX  MISCELLANEOUS PROVISIONS</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w:t>
            </w:r>
          </w:p>
        </w:tc>
        <w:tc>
          <w:tcPr>
            <w:tcW w:w="20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Waivers; Amendments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9.2</w:t>
            </w:r>
          </w:p>
        </w:tc>
        <w:tc>
          <w:tcPr>
            <w:tcW w:w="2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  23</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9.3</w:t>
            </w:r>
          </w:p>
        </w:tc>
        <w:tc>
          <w:tcPr>
            <w:tcW w:w="2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Governing Law  23</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9.4</w:t>
            </w:r>
          </w:p>
        </w:tc>
        <w:tc>
          <w:tcPr>
            <w:tcW w:w="2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Integration  24</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4"/>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9.5</w:t>
            </w: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Severability of Provisions</w:t>
            </w:r>
          </w:p>
        </w:tc>
        <w:tc>
          <w:tcPr>
            <w:tcW w:w="6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24</w:t>
            </w:r>
          </w:p>
        </w:tc>
        <w:tc>
          <w:tcPr>
            <w:tcW w:w="800" w:type="dxa"/>
            <w:vAlign w:val="bottom"/>
          </w:tcPr>
          <w:p>
            <w:pPr>
              <w:spacing w:after="0"/>
              <w:rPr>
                <w:sz w:val="24"/>
                <w:szCs w:val="24"/>
                <w:color w:val="auto"/>
              </w:rPr>
            </w:pPr>
          </w:p>
        </w:tc>
      </w:tr>
      <w:tr>
        <w:trPr>
          <w:trHeight w:val="378"/>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9.6</w:t>
            </w: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Counterparts; Facsimile Delivery</w:t>
            </w:r>
          </w:p>
        </w:tc>
        <w:tc>
          <w:tcPr>
            <w:tcW w:w="8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9"/>
              </w:rPr>
              <w:t>24</w:t>
            </w:r>
          </w:p>
        </w:tc>
      </w:tr>
      <w:tr>
        <w:trPr>
          <w:trHeight w:val="364"/>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9.7</w:t>
            </w:r>
          </w:p>
        </w:tc>
        <w:tc>
          <w:tcPr>
            <w:tcW w:w="392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Successors and Assigns; Binding Effect  24</w:t>
            </w:r>
          </w:p>
        </w:tc>
      </w:tr>
      <w:tr>
        <w:trPr>
          <w:trHeight w:val="365"/>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9.8</w:t>
            </w: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Costs, Expenses and Taxes</w:t>
            </w: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24</w:t>
            </w:r>
          </w:p>
        </w:tc>
        <w:tc>
          <w:tcPr>
            <w:tcW w:w="800" w:type="dxa"/>
            <w:vAlign w:val="bottom"/>
          </w:tcPr>
          <w:p>
            <w:pPr>
              <w:spacing w:after="0"/>
              <w:rPr>
                <w:sz w:val="24"/>
                <w:szCs w:val="24"/>
                <w:color w:val="auto"/>
              </w:rPr>
            </w:pPr>
          </w:p>
        </w:tc>
      </w:tr>
      <w:tr>
        <w:trPr>
          <w:trHeight w:val="364"/>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9.9</w:t>
            </w:r>
          </w:p>
        </w:tc>
        <w:tc>
          <w:tcPr>
            <w:tcW w:w="31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9"/>
              </w:rPr>
              <w:t>No Proceedings; Limited Recourse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24</w:t>
            </w:r>
          </w:p>
        </w:tc>
      </w:tr>
      <w:tr>
        <w:trPr>
          <w:trHeight w:val="364"/>
        </w:trPr>
        <w:tc>
          <w:tcPr>
            <w:tcW w:w="20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9.10</w:t>
            </w:r>
          </w:p>
        </w:tc>
        <w:tc>
          <w:tcPr>
            <w:tcW w:w="20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Further Assurances</w:t>
            </w: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9"/>
              </w:rPr>
              <w:t>25</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2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Perfection Representations, Warranties and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140"/>
          </w:cols>
          <w:pgMar w:left="320" w:top="122" w:right="439" w:bottom="1440" w:gutter="0" w:footer="0" w:header="0"/>
        </w:sectPr>
      </w:pPr>
    </w:p>
    <w:bookmarkStart w:id="6" w:name="page7"/>
    <w:bookmarkEnd w:id="6"/>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 SALE AGREEMENT</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This FOURTH AMENDED AND RESTATED SALE AGREEMENT, dated as of May 11, 2026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between GREIF PACKAGING LLC, a Delaware limited liability company (“</w:t>
      </w:r>
      <w:r>
        <w:rPr>
          <w:rFonts w:ascii="Times New Roman" w:cs="Times New Roman" w:eastAsia="Times New Roman" w:hAnsi="Times New Roman"/>
          <w:sz w:val="21"/>
          <w:szCs w:val="21"/>
          <w:u w:val="single" w:color="auto"/>
          <w:color w:val="auto"/>
        </w:rPr>
        <w:t>GP</w:t>
      </w:r>
      <w:r>
        <w:rPr>
          <w:rFonts w:ascii="Times New Roman" w:cs="Times New Roman" w:eastAsia="Times New Roman" w:hAnsi="Times New Roman"/>
          <w:sz w:val="21"/>
          <w:szCs w:val="21"/>
          <w:color w:val="auto"/>
        </w:rPr>
        <w:t>”), AMERICAN FLANGE &amp; MANUFACTURING CO. INC., a Delaware corporation (“</w:t>
      </w:r>
      <w:r>
        <w:rPr>
          <w:rFonts w:ascii="Times New Roman" w:cs="Times New Roman" w:eastAsia="Times New Roman" w:hAnsi="Times New Roman"/>
          <w:sz w:val="21"/>
          <w:szCs w:val="21"/>
          <w:u w:val="single" w:color="auto"/>
          <w:color w:val="auto"/>
        </w:rPr>
        <w:t>AFM</w:t>
      </w:r>
      <w:r>
        <w:rPr>
          <w:rFonts w:ascii="Times New Roman" w:cs="Times New Roman" w:eastAsia="Times New Roman" w:hAnsi="Times New Roman"/>
          <w:sz w:val="21"/>
          <w:szCs w:val="21"/>
          <w:color w:val="auto"/>
        </w:rPr>
        <w:t>”), CARAUSTAR MILL GROUP, INC., an Ohio corporation (“</w:t>
      </w:r>
      <w:r>
        <w:rPr>
          <w:rFonts w:ascii="Times New Roman" w:cs="Times New Roman" w:eastAsia="Times New Roman" w:hAnsi="Times New Roman"/>
          <w:sz w:val="21"/>
          <w:szCs w:val="21"/>
          <w:u w:val="single" w:color="auto"/>
          <w:color w:val="auto"/>
        </w:rPr>
        <w:t>Caraustar Mill</w:t>
      </w:r>
      <w:r>
        <w:rPr>
          <w:rFonts w:ascii="Times New Roman" w:cs="Times New Roman" w:eastAsia="Times New Roman" w:hAnsi="Times New Roman"/>
          <w:sz w:val="21"/>
          <w:szCs w:val="21"/>
          <w:color w:val="auto"/>
        </w:rPr>
        <w:t>”), CARAUSTAR INDUSTRIAL AND CONSUMER PRODUCTS GROUP, INC., a Delaware corporation (“</w:t>
      </w:r>
      <w:r>
        <w:rPr>
          <w:rFonts w:ascii="Times New Roman" w:cs="Times New Roman" w:eastAsia="Times New Roman" w:hAnsi="Times New Roman"/>
          <w:sz w:val="21"/>
          <w:szCs w:val="21"/>
          <w:u w:val="single" w:color="auto"/>
          <w:color w:val="auto"/>
        </w:rPr>
        <w:t>Caraustar Industrial</w:t>
      </w:r>
      <w:r>
        <w:rPr>
          <w:rFonts w:ascii="Times New Roman" w:cs="Times New Roman" w:eastAsia="Times New Roman" w:hAnsi="Times New Roman"/>
          <w:sz w:val="21"/>
          <w:szCs w:val="21"/>
          <w:color w:val="auto"/>
        </w:rPr>
        <w:t>”), CARAUSTAR RECOVERED FIBER GROUP, INC., a Delaware corporation (“</w:t>
      </w:r>
      <w:r>
        <w:rPr>
          <w:rFonts w:ascii="Times New Roman" w:cs="Times New Roman" w:eastAsia="Times New Roman" w:hAnsi="Times New Roman"/>
          <w:sz w:val="21"/>
          <w:szCs w:val="21"/>
          <w:u w:val="single" w:color="auto"/>
          <w:color w:val="auto"/>
        </w:rPr>
        <w:t>Caraustar Fiber</w:t>
      </w:r>
      <w:r>
        <w:rPr>
          <w:rFonts w:ascii="Times New Roman" w:cs="Times New Roman" w:eastAsia="Times New Roman" w:hAnsi="Times New Roman"/>
          <w:sz w:val="21"/>
          <w:szCs w:val="21"/>
          <w:color w:val="auto"/>
        </w:rPr>
        <w:t>”), THE NEWARK GROUP, INC., a New Jersey corporation (“</w:t>
      </w:r>
      <w:r>
        <w:rPr>
          <w:rFonts w:ascii="Times New Roman" w:cs="Times New Roman" w:eastAsia="Times New Roman" w:hAnsi="Times New Roman"/>
          <w:sz w:val="21"/>
          <w:szCs w:val="21"/>
          <w:u w:val="single" w:color="auto"/>
          <w:color w:val="auto"/>
        </w:rPr>
        <w:t>Newark</w:t>
      </w:r>
      <w:r>
        <w:rPr>
          <w:rFonts w:ascii="Times New Roman" w:cs="Times New Roman" w:eastAsia="Times New Roman" w:hAnsi="Times New Roman"/>
          <w:sz w:val="21"/>
          <w:szCs w:val="21"/>
          <w:color w:val="auto"/>
        </w:rPr>
        <w:t>”), CARAUSTAR CONSUMER PRODUCTS GROUP, LLC, a Delaware limited liability company (“</w:t>
      </w:r>
      <w:r>
        <w:rPr>
          <w:rFonts w:ascii="Times New Roman" w:cs="Times New Roman" w:eastAsia="Times New Roman" w:hAnsi="Times New Roman"/>
          <w:sz w:val="21"/>
          <w:szCs w:val="21"/>
          <w:u w:val="single" w:color="auto"/>
          <w:color w:val="auto"/>
        </w:rPr>
        <w:t>Caraustar Consumer</w:t>
      </w:r>
      <w:r>
        <w:rPr>
          <w:rFonts w:ascii="Times New Roman" w:cs="Times New Roman" w:eastAsia="Times New Roman" w:hAnsi="Times New Roman"/>
          <w:sz w:val="21"/>
          <w:szCs w:val="21"/>
          <w:color w:val="auto"/>
        </w:rPr>
        <w:t>”), CASCADE PAPER CONVERTERS CO., a Michigan corporation (“</w:t>
      </w:r>
      <w:r>
        <w:rPr>
          <w:rFonts w:ascii="Times New Roman" w:cs="Times New Roman" w:eastAsia="Times New Roman" w:hAnsi="Times New Roman"/>
          <w:sz w:val="21"/>
          <w:szCs w:val="21"/>
          <w:u w:val="single" w:color="auto"/>
          <w:color w:val="auto"/>
        </w:rPr>
        <w:t>Cascade</w:t>
      </w:r>
      <w:r>
        <w:rPr>
          <w:rFonts w:ascii="Times New Roman" w:cs="Times New Roman" w:eastAsia="Times New Roman" w:hAnsi="Times New Roman"/>
          <w:sz w:val="21"/>
          <w:szCs w:val="21"/>
          <w:color w:val="auto"/>
        </w:rPr>
        <w:t>”), CONTAINER LIFE CYCLE MANAGEMENT LLC, a Delaware limited liability company (“</w:t>
      </w:r>
      <w:r>
        <w:rPr>
          <w:rFonts w:ascii="Times New Roman" w:cs="Times New Roman" w:eastAsia="Times New Roman" w:hAnsi="Times New Roman"/>
          <w:sz w:val="21"/>
          <w:szCs w:val="21"/>
          <w:u w:val="single" w:color="auto"/>
          <w:color w:val="auto"/>
        </w:rPr>
        <w:t>Container Life</w:t>
      </w:r>
      <w:r>
        <w:rPr>
          <w:rFonts w:ascii="Times New Roman" w:cs="Times New Roman" w:eastAsia="Times New Roman" w:hAnsi="Times New Roman"/>
          <w:sz w:val="21"/>
          <w:szCs w:val="21"/>
          <w:color w:val="auto"/>
        </w:rPr>
        <w:t>”), LEE CONTAINER, LLC, a Georgia limited liability company (“</w:t>
      </w:r>
      <w:r>
        <w:rPr>
          <w:rFonts w:ascii="Times New Roman" w:cs="Times New Roman" w:eastAsia="Times New Roman" w:hAnsi="Times New Roman"/>
          <w:sz w:val="21"/>
          <w:szCs w:val="21"/>
          <w:u w:val="single" w:color="auto"/>
          <w:color w:val="auto"/>
        </w:rPr>
        <w:t>Lee</w:t>
      </w:r>
      <w:r>
        <w:rPr>
          <w:rFonts w:ascii="Times New Roman" w:cs="Times New Roman" w:eastAsia="Times New Roman" w:hAnsi="Times New Roman"/>
          <w:sz w:val="21"/>
          <w:szCs w:val="21"/>
          <w:color w:val="auto"/>
        </w:rPr>
        <w:t>”), LEE CONTAINER IOWA, LLC, an Iowa limited liability company (“</w:t>
      </w:r>
      <w:r>
        <w:rPr>
          <w:rFonts w:ascii="Times New Roman" w:cs="Times New Roman" w:eastAsia="Times New Roman" w:hAnsi="Times New Roman"/>
          <w:sz w:val="21"/>
          <w:szCs w:val="21"/>
          <w:u w:val="single" w:color="auto"/>
          <w:color w:val="auto"/>
        </w:rPr>
        <w:t>Lee Iowa</w:t>
      </w:r>
      <w:r>
        <w:rPr>
          <w:rFonts w:ascii="Times New Roman" w:cs="Times New Roman" w:eastAsia="Times New Roman" w:hAnsi="Times New Roman"/>
          <w:sz w:val="21"/>
          <w:szCs w:val="21"/>
          <w:color w:val="auto"/>
        </w:rPr>
        <w:t>”, and together with GP, AFM, Caraustar Mill, Caraustar Industrial, Caraustar Fiber, Newark, Caraustar Consumer, Cascade, Container Life and Lee, each, an “</w:t>
      </w:r>
      <w:r>
        <w:rPr>
          <w:rFonts w:ascii="Times New Roman" w:cs="Times New Roman" w:eastAsia="Times New Roman" w:hAnsi="Times New Roman"/>
          <w:sz w:val="21"/>
          <w:szCs w:val="21"/>
          <w:u w:val="single" w:color="auto"/>
          <w:color w:val="auto"/>
        </w:rPr>
        <w:t>Originator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Originators</w:t>
      </w:r>
      <w:r>
        <w:rPr>
          <w:rFonts w:ascii="Times New Roman" w:cs="Times New Roman" w:eastAsia="Times New Roman" w:hAnsi="Times New Roman"/>
          <w:sz w:val="21"/>
          <w:szCs w:val="21"/>
          <w:color w:val="auto"/>
        </w:rPr>
        <w:t>”), and GREIF RECEIVABLES FUNDING LLC, a Delaware limited liability company (the “</w:t>
      </w:r>
      <w:r>
        <w:rPr>
          <w:rFonts w:ascii="Times New Roman" w:cs="Times New Roman" w:eastAsia="Times New Roman" w:hAnsi="Times New Roman"/>
          <w:sz w:val="21"/>
          <w:szCs w:val="21"/>
          <w:u w:val="single" w:color="auto"/>
          <w:color w:val="auto"/>
        </w:rPr>
        <w:t>SPV</w:t>
      </w:r>
      <w:r>
        <w:rPr>
          <w:rFonts w:ascii="Times New Roman" w:cs="Times New Roman" w:eastAsia="Times New Roman" w:hAnsi="Times New Roman"/>
          <w:sz w:val="21"/>
          <w:szCs w:val="21"/>
          <w:color w:val="auto"/>
        </w:rPr>
        <w:t>”). The parties hereto agree as follows: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WITNESSETH:</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in the ordinary course of their business, the Originators acquire and originate, from time to time, Receivables and related rights arising pursuant to certain Contracts between the Originators and various Obligors;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GP owns all of the outstanding membership interests of the SPV;</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Originators wish to sell, contribute or otherwise convey certain Conveyed Receivables and Related Assets to the SPV, from time to time, and the SPV is willing to purchase or otherwise acquire Receivables and Related Assets from the Originators, on the terms and subject to the conditions set forth herein;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Originators and the SPV intend the conveyances effected hereunder to be true sales or contributions, as the case may be, of Conveyed Receivables and Related Assets (including all of the Originators’ rights, titles and interests in and to any related Contracts) by the Originators to the SPV, providing the SPV with the full benefits of ownership of the Conveyed Receivables and Related Assets, and the Originators and the SPV do not intend the conveyances effected hereunder to be characterized as loans from the SPV to the Originators;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WHEREAS, the Originators and the SPV acknowledge that a lien and security interest in the Conveyed Receivables and certain of the Related Assets sold, contributed or otherwise conveyed by the Originators to the SPV hereunder has been granted and assigned by the SPV pursuant to the Second Tier Agreement (as hereinafter defined) and the related Transaction Documents to PNC Bank, National Association.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as Agent, on behalf of the Secured Parties;</w:t>
      </w:r>
    </w:p>
    <w:p>
      <w:pPr>
        <w:sectPr>
          <w:pgSz w:w="11900" w:h="16838" w:orient="portrait"/>
          <w:cols w:equalWidth="0" w:num="1">
            <w:col w:w="11240"/>
          </w:cols>
          <w:pgMar w:left="320" w:top="1440" w:right="339" w:bottom="1440" w:gutter="0" w:footer="0" w:header="0"/>
        </w:sectPr>
      </w:pPr>
    </w:p>
    <w:bookmarkStart w:id="7" w:name="page8"/>
    <w:bookmarkEnd w:id="7"/>
    <w:p>
      <w:pPr>
        <w:spacing w:after="0" w:line="5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WHEREAS, the Originators and the SPV are parties to that certain Third Amended and Restated Sale Agreement, dated as of September 24, 2019 (as amended, restated, supplemented or otherwise modified through the date hereof, the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hereto wish to amend and restate the Existing Agreement;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other good and valuable consideration, and the mutual terms and covenants contained herein, the parties hereto agree to amend and restate the Existing Agreement as follows:</w:t>
      </w:r>
    </w:p>
    <w:p>
      <w:pPr>
        <w:spacing w:after="0" w:line="1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All capitalized terms used herein shall have the meanings specified herein or, if not so specified, the meaning specified in, or incorporated by reference into, the Second Tier Agreement (all such meanings to be equally applicable to the singular and plural forms of the terms defined). As used in this Agreement, the following terms shall have the following meanings: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Purchase Price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Conveyed Receivable</w:t>
      </w:r>
      <w:r>
        <w:rPr>
          <w:rFonts w:ascii="Times New Roman" w:cs="Times New Roman" w:eastAsia="Times New Roman" w:hAnsi="Times New Roman"/>
          <w:sz w:val="22"/>
          <w:szCs w:val="22"/>
          <w:color w:val="auto"/>
        </w:rPr>
        <w:t xml:space="preserve">” shall mean each Receivable sold by an Originator to the SPV in accordance with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Deferred Purchase Price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Purchase Dates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Purchases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Capital Test</w:t>
      </w:r>
      <w:r>
        <w:rPr>
          <w:rFonts w:ascii="Times New Roman" w:cs="Times New Roman" w:eastAsia="Times New Roman" w:hAnsi="Times New Roman"/>
          <w:sz w:val="22"/>
          <w:szCs w:val="22"/>
          <w:color w:val="auto"/>
        </w:rPr>
        <w:t xml:space="preserve">” shall mean a test that is satisfied on any day when (a) the Aggregate Unpaid Balance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Net Investment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then outstanding aggregate Deferred Purchase Price is equal to or greater than $5,000,000.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 Indemnified Amounts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 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Originators</w:t>
      </w:r>
      <w:r>
        <w:rPr>
          <w:rFonts w:ascii="Times New Roman" w:cs="Times New Roman" w:eastAsia="Times New Roman" w:hAnsi="Times New Roman"/>
          <w:sz w:val="22"/>
          <w:szCs w:val="22"/>
          <w:color w:val="auto"/>
        </w:rPr>
        <w:t xml:space="preserve">” shall have the meaning set forth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Perfection Representations</w:t>
      </w:r>
      <w:r>
        <w:rPr>
          <w:rFonts w:ascii="Times New Roman" w:cs="Times New Roman" w:eastAsia="Times New Roman" w:hAnsi="Times New Roman"/>
          <w:sz w:val="21"/>
          <w:szCs w:val="21"/>
          <w:color w:val="auto"/>
        </w:rPr>
        <w:t xml:space="preserve">” means the representations, warranties and covenants set forth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attached hereto.</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shall mean, as the context may require, the Initial Purchases or a Subsequent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Date</w:t>
      </w:r>
      <w:r>
        <w:rPr>
          <w:rFonts w:ascii="Times New Roman" w:cs="Times New Roman" w:eastAsia="Times New Roman" w:hAnsi="Times New Roman"/>
          <w:sz w:val="22"/>
          <w:szCs w:val="22"/>
          <w:color w:val="auto"/>
        </w:rPr>
        <w:t>” shall mean the Initial Purchase Dates or a Subsequent Purchase Date, as the context may require.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Termination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Assets</w:t>
      </w:r>
      <w:r>
        <w:rPr>
          <w:rFonts w:ascii="Times New Roman" w:cs="Times New Roman" w:eastAsia="Times New Roman" w:hAnsi="Times New Roman"/>
          <w:sz w:val="22"/>
          <w:szCs w:val="22"/>
          <w:color w:val="auto"/>
        </w:rPr>
        <w:t>” shall mean, with respect to each Receivable:</w:t>
      </w:r>
    </w:p>
    <w:p>
      <w:pPr>
        <w:spacing w:after="0" w:line="193" w:lineRule="exact"/>
        <w:rPr>
          <w:sz w:val="20"/>
          <w:szCs w:val="20"/>
          <w:color w:val="auto"/>
        </w:rPr>
      </w:pPr>
    </w:p>
    <w:p>
      <w:pPr>
        <w:ind w:left="660" w:right="20" w:firstLine="644"/>
        <w:spacing w:after="0" w:line="236" w:lineRule="auto"/>
        <w:tabs>
          <w:tab w:leader="none" w:pos="194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Returned Goods and documentation or title evidencing the shipment or storage of any goods relating to any sale giving rise to such Receivable;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security interests or liens and property subject thereto from time to time, if any, purporting to secure payment of such Receivable, whether pursuant to the related Contract or otherwise, together with all financing statements and other filings authorized by an Obligor relating thereto;</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indemnities, warranties, letters of credit, insurance policies and proceeds and premium refunds thereof and other agreements or arrangements of any kind from time to time supporting or securing payment of such Receivable, whether pursuant to the Contract related to such Receivable or otherwise;</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records, instruments, documents and other agreements (including any Contract with respect thereto) related to such Receivable;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Collections with respect to such Receivable;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remedies, powers, privileges, title and interest (but not obligations) in and to each lock-box address and all Blocked Accounts, into which any Collections or other proceeds with respect to such Receivable may be deposited, and any related investment property acquired with any such Collections or other proceeds (as such term is defined in the applicable UCC);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the foregoing.</w:t>
      </w:r>
    </w:p>
    <w:p>
      <w:pPr>
        <w:spacing w:after="0" w:line="20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Receivable</w:t>
      </w:r>
      <w:r>
        <w:rPr>
          <w:rFonts w:ascii="Times New Roman" w:cs="Times New Roman" w:eastAsia="Times New Roman" w:hAnsi="Times New Roman"/>
          <w:sz w:val="22"/>
          <w:szCs w:val="22"/>
          <w:color w:val="auto"/>
        </w:rPr>
        <w:t>” shall mean: (i) any receivable owed by an obligor which is an Affiliate of any Originator, or (ii) a receivable owed by any of the obligors listed on Schedules IV or 1.01(c) of the Disclosure Letter.</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Returned Goods</w:t>
      </w:r>
      <w:r>
        <w:rPr>
          <w:rFonts w:ascii="Times New Roman" w:cs="Times New Roman" w:eastAsia="Times New Roman" w:hAnsi="Times New Roman"/>
          <w:sz w:val="22"/>
          <w:szCs w:val="22"/>
          <w:color w:val="auto"/>
        </w:rPr>
        <w:t>” means all right, title and interest of any Originator in and to returned, repossessed or foreclosed goods and/or merchandise the sale of which gave rise to a Receivable.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Tier Agreement</w:t>
      </w:r>
      <w:r>
        <w:rPr>
          <w:rFonts w:ascii="Times New Roman" w:cs="Times New Roman" w:eastAsia="Times New Roman" w:hAnsi="Times New Roman"/>
          <w:sz w:val="22"/>
          <w:szCs w:val="22"/>
          <w:color w:val="auto"/>
        </w:rPr>
        <w:t>” means the Fourth Amended and Restated Transfer and Administration Agreement, dated as of the date hereof, by and among the SPV, the Originators, GP, as initial Servicer, PNC, as a Managing Agent, an Administrator, a Committed Investor and the Agent, and the various Investor Groups, Managing Agents and Administrators from time to time parties thereto.</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Obligations</w:t>
      </w:r>
      <w:r>
        <w:rPr>
          <w:rFonts w:ascii="Times New Roman" w:cs="Times New Roman" w:eastAsia="Times New Roman" w:hAnsi="Times New Roman"/>
          <w:sz w:val="22"/>
          <w:szCs w:val="22"/>
          <w:color w:val="auto"/>
        </w:rPr>
        <w:t>” means all Aggregate Unpaids which may now or hereafter be owing by the SPV to the Agent and the other Secured 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at any time, a condition under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spacing w:after="0" w:line="50" w:lineRule="exact"/>
        <w:rPr>
          <w:sz w:val="20"/>
          <w:szCs w:val="20"/>
          <w:color w:val="auto"/>
        </w:rPr>
      </w:pPr>
    </w:p>
    <w:p>
      <w:pPr>
        <w:ind w:right="440" w:firstLine="1304"/>
        <w:spacing w:after="0" w:line="271" w:lineRule="auto"/>
        <w:tabs>
          <w:tab w:leader="none" w:pos="171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value and present fair saleable value of such Person’s total assets is, on the date of determination, greater than such Person’s total liabilities (including contingent and unliquidated liabilities) at such time;</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is and shall continue to be able to pay all of its liabilities as such liabilities mature; and</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does not have unreasonably small capital with which to engage in its current and in its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this definition:</w:t>
      </w:r>
    </w:p>
    <w:p>
      <w:pPr>
        <w:spacing w:after="0" w:line="220" w:lineRule="exact"/>
        <w:rPr>
          <w:sz w:val="20"/>
          <w:szCs w:val="20"/>
          <w:color w:val="auto"/>
        </w:rPr>
      </w:pPr>
    </w:p>
    <w:p>
      <w:pPr>
        <w:ind w:right="420" w:firstLine="1304"/>
        <w:spacing w:after="0" w:line="257" w:lineRule="auto"/>
        <w:tabs>
          <w:tab w:leader="none" w:pos="18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 Person’s contingent or unliquidated liabilities at any time shall be that amount which, in light of all the facts and circumstances then existing, represents the amount which can reasonably be expected to become an actual or matured liability;</w:t>
      </w:r>
    </w:p>
    <w:p>
      <w:pPr>
        <w:spacing w:after="0" w:line="172" w:lineRule="exact"/>
        <w:rPr>
          <w:rFonts w:ascii="Times New Roman" w:cs="Times New Roman" w:eastAsia="Times New Roman" w:hAnsi="Times New Roman"/>
          <w:sz w:val="22"/>
          <w:szCs w:val="22"/>
          <w:color w:val="auto"/>
        </w:rPr>
      </w:pPr>
    </w:p>
    <w:p>
      <w:pPr>
        <w:ind w:right="680" w:firstLine="1304"/>
        <w:spacing w:after="0" w:line="284" w:lineRule="auto"/>
        <w:tabs>
          <w:tab w:leader="none" w:pos="18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value” of an asset shall be the amount which may be realized within a reasonable time either through collection or sale of such asset at its regular market value;</w:t>
      </w:r>
    </w:p>
    <w:p>
      <w:pPr>
        <w:spacing w:after="0" w:line="143" w:lineRule="exact"/>
        <w:rPr>
          <w:rFonts w:ascii="Times New Roman" w:cs="Times New Roman" w:eastAsia="Times New Roman" w:hAnsi="Times New Roman"/>
          <w:sz w:val="22"/>
          <w:szCs w:val="22"/>
          <w:color w:val="auto"/>
        </w:rPr>
      </w:pPr>
    </w:p>
    <w:p>
      <w:pPr>
        <w:ind w:right="160" w:firstLine="1304"/>
        <w:spacing w:after="0" w:line="295"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“regular market value” of an asset shall be the amount which a capable and diligent business person could obtain for such asset from an interested buyer who is willing to purchase such asset under ordinary selling conditions; and</w:t>
      </w:r>
    </w:p>
    <w:p>
      <w:pPr>
        <w:spacing w:after="0" w:line="135" w:lineRule="exact"/>
        <w:rPr>
          <w:rFonts w:ascii="Times New Roman" w:cs="Times New Roman" w:eastAsia="Times New Roman" w:hAnsi="Times New Roman"/>
          <w:sz w:val="21"/>
          <w:szCs w:val="21"/>
          <w:color w:val="auto"/>
        </w:rPr>
      </w:pPr>
    </w:p>
    <w:p>
      <w:pPr>
        <w:ind w:firstLine="1304"/>
        <w:spacing w:after="0" w:line="271" w:lineRule="auto"/>
        <w:tabs>
          <w:tab w:leader="none" w:pos="165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fair saleable value” of an asset means the amount which can be obtained if such asset is sold with reasonable promptness in an arm’s length transaction in an existing and not theoretical market.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 xml:space="preserve">” shall have the meaning set forth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 xml:space="preserve"> hereto.</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Obligations</w:t>
      </w:r>
      <w:r>
        <w:rPr>
          <w:rFonts w:ascii="Times New Roman" w:cs="Times New Roman" w:eastAsia="Times New Roman" w:hAnsi="Times New Roman"/>
          <w:sz w:val="22"/>
          <w:szCs w:val="22"/>
          <w:color w:val="auto"/>
        </w:rPr>
        <w:t>” means all obligations which may now or hereafter be owing by the SPV to each Originator and its successors or assigns (including the obligation to pay the purchase price of any Receivable and interest thereon).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Purchase</w:t>
      </w:r>
      <w:r>
        <w:rPr>
          <w:rFonts w:ascii="Times New Roman" w:cs="Times New Roman" w:eastAsia="Times New Roman" w:hAnsi="Times New Roman"/>
          <w:sz w:val="22"/>
          <w:szCs w:val="22"/>
          <w:color w:val="auto"/>
        </w:rPr>
        <w:t>” shall mean each Purchase other than the Initial Purchases.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Subsequent Purchase Date</w:t>
      </w:r>
      <w:r>
        <w:rPr>
          <w:rFonts w:ascii="Times New Roman" w:cs="Times New Roman" w:eastAsia="Times New Roman" w:hAnsi="Times New Roman"/>
          <w:sz w:val="22"/>
          <w:szCs w:val="22"/>
          <w:color w:val="auto"/>
        </w:rPr>
        <w:t>” shall mean, with respect to Originators, during the period commencing on the date hereof and ending on the Purchase Termination Date, the date of any Subsequent Purchase.</w:t>
      </w:r>
    </w:p>
    <w:p>
      <w:pPr>
        <w:spacing w:after="0" w:line="11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Terms</w:t>
      </w:r>
      <w:r>
        <w:rPr>
          <w:rFonts w:ascii="Times New Roman" w:cs="Times New Roman" w:eastAsia="Times New Roman" w:hAnsi="Times New Roman"/>
          <w:sz w:val="22"/>
          <w:szCs w:val="22"/>
          <w:color w:val="auto"/>
        </w:rPr>
        <w:t>. All terms defined directly or by incorporation herein shall have the defined meanings when used in any certificate or other document delivered pursuant thereto unless otherwise defined therein. For purposes of this Agreement and all such certificates and other documents, unless the context otherwise requires: (a) accounting terms not otherwise defined herein, and accounting terms partly defined herein to the extent not defined, shall have the respective meanings given to them under, and shall be construed in accordance with, GAAP; (b) terms used in Article 9 of the UCC in the State of New York, and not specifically defined herein, are used herein as defined in such Article 9; (c) references to any amount as on deposit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outstanding on any particular date means such amount at the close of business on such day; (d) the words “hereof,” “herein” and “hereunder” and words of similar import refer to this Agreement (or the certificate or other document in which they are used) as a whole and not to any particular provision of this Agreement (or such certificate or document); (e) references to any Section, Schedule or Exhibit are references to Sections, Schedules and Exhibits in or to this Agreement (or the certificate or other document in which the reference is made) and references to any paragraph, subsection, clause or other subdivision within any Section or definition refer to such paragraph, subsection, clause or other subdivision of such Section or definition; (f) the term “including” means “including without limitation”; (g) references to any law or regulation refer to that law or regulation as amended from time to time and include any successor law or regulation; (h) references to any agreement refer to that agreement as from time to time amended or supplemented or as the terms of such agreement are waived or modified in accordance with its terms; (i) references to any Person include that Person’s successors and assigns; (j) headings are for purposes of reference only and shall not otherwise affect the meaning or interpretation of any provision hereof; and (k) each reference to “Originator” herein refers severally to each of the Originators as to itself and the Receivables and Related Assets owned by it from time to time. Notwithstanding the foregoing, the term “Related Assets” as used herein excludes the SPV’s rights under this Agreement.</w:t>
      </w:r>
    </w:p>
    <w:p>
      <w:pPr>
        <w:spacing w:after="0" w:line="15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Computation of Time Periods</w:t>
      </w:r>
      <w:r>
        <w:rPr>
          <w:rFonts w:ascii="Times New Roman" w:cs="Times New Roman" w:eastAsia="Times New Roman" w:hAnsi="Times New Roman"/>
          <w:sz w:val="22"/>
          <w:szCs w:val="22"/>
          <w:color w:val="auto"/>
        </w:rPr>
        <w:t>. Unless otherwise stated in this Agreement, in the computation of a period of time from a specified date to a later specified date, the word “from” means “from and including” and the words “to” and “until” each means “to but excluding.”</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color w:val="auto"/>
        </w:rPr>
        <w:t>SALE AND PURCHASE OF RECEIVABLES</w:t>
      </w:r>
    </w:p>
    <w:p>
      <w:pPr>
        <w:spacing w:after="0" w:line="155"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(a) As of the date hereof, each of the parties hereto hereby acknowledges that on the terms and subject to the conditions set forth in the Existing Agreement, the Originators sold to the SPV on certain purchase dates prior to the date hereof (the “</w:t>
      </w:r>
      <w:r>
        <w:rPr>
          <w:rFonts w:ascii="Times New Roman" w:cs="Times New Roman" w:eastAsia="Times New Roman" w:hAnsi="Times New Roman"/>
          <w:sz w:val="22"/>
          <w:szCs w:val="22"/>
          <w:u w:val="single" w:color="auto"/>
          <w:color w:val="auto"/>
        </w:rPr>
        <w:t>Initial Purchase Dates</w:t>
      </w:r>
      <w:r>
        <w:rPr>
          <w:rFonts w:ascii="Times New Roman" w:cs="Times New Roman" w:eastAsia="Times New Roman" w:hAnsi="Times New Roman"/>
          <w:sz w:val="22"/>
          <w:szCs w:val="22"/>
          <w:color w:val="auto"/>
        </w:rPr>
        <w:t>”), and the SPV purchased from the Originators on each such Initial Purchase Date, all of each Originator’s right, title and interest, in, to and under certain of such Originator’s Receivables (other than any Retained Receivable) existing as of such Initial Purchase Date, together with all other Related Assets and all proceeds thereof, whether such Related Assets or proceeds relating thereto existed at such time or arose or were acquired thereafter. The foregoing purchases and sales are herein collectively called the “</w:t>
      </w:r>
      <w:r>
        <w:rPr>
          <w:rFonts w:ascii="Times New Roman" w:cs="Times New Roman" w:eastAsia="Times New Roman" w:hAnsi="Times New Roman"/>
          <w:sz w:val="22"/>
          <w:szCs w:val="22"/>
          <w:u w:val="single" w:color="auto"/>
          <w:color w:val="auto"/>
        </w:rPr>
        <w:t>Initial Purchases</w:t>
      </w:r>
      <w:r>
        <w:rPr>
          <w:rFonts w:ascii="Times New Roman" w:cs="Times New Roman" w:eastAsia="Times New Roman" w:hAnsi="Times New Roman"/>
          <w:sz w:val="22"/>
          <w:szCs w:val="22"/>
          <w:color w:val="auto"/>
        </w:rPr>
        <w:t>”. Each of the parties hereto hereby acknowledges that the aggregate Deferred Purchase Price for the Initial Purchases shall be set forth in the first Servicer Report delivered by the Servicer after the date hereof.</w:t>
      </w:r>
    </w:p>
    <w:p>
      <w:pPr>
        <w:spacing w:after="0" w:line="158" w:lineRule="exact"/>
        <w:rPr>
          <w:sz w:val="20"/>
          <w:szCs w:val="20"/>
          <w:color w:val="auto"/>
        </w:rPr>
      </w:pPr>
    </w:p>
    <w:p>
      <w:pPr>
        <w:jc w:val="both"/>
        <w:ind w:firstLine="656"/>
        <w:spacing w:after="0" w:line="212" w:lineRule="auto"/>
        <w:tabs>
          <w:tab w:leader="none" w:pos="129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terms and subject to the conditions set forth herein, each of the Originators hereby sells to the SPV effective as of each Subsequent Purchase Date, and the SPV hereby purchases from each of the Originators effective as of each Subsequent Purchase Date, each Receivable (other than any Retained Receivable), together with all Related Assets and all proceeds thereof, whether such Related Assets or proceeds relating thereto exist at such time or arise or are acquired thereafter, arising on and after the date hereof and through and including the Purchase Termination Date (including, for the avoidance of doubt, each Receivable of each Originator (other than any Retained Receivable) that exists as of the date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no Originator shall have an obligation to sell to the SPV any Receivable or Related Assets under this Agreement if immediately prior thereto SPV is not solvent.</w:t>
      </w:r>
    </w:p>
    <w:p>
      <w:pPr>
        <w:spacing w:after="0" w:line="15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Intent of the Parties; Grant of Security Interest</w:t>
      </w:r>
      <w:r>
        <w:rPr>
          <w:rFonts w:ascii="Times New Roman" w:cs="Times New Roman" w:eastAsia="Times New Roman" w:hAnsi="Times New Roman"/>
          <w:sz w:val="22"/>
          <w:szCs w:val="22"/>
          <w:color w:val="auto"/>
        </w:rPr>
        <w:t>. (a) The Originators and the SPV intend that the sale, assignment and transfer of the Conveyed Receivables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Assets to the SPV hereunder shall be treated as a sale for all purposes, other than accounting and U.S. federal and state income tax purposes. If notwithstanding the intent of the parties, the sale, assignment and transfer of the Conveyed Receivables and Related Assets to the SPV is not treated as a sale for all purposes, other than accounting and U.S. federal and state income tax purposes, then (i) this Agreement also is intended by the parties to be, and hereby is, a security agreement within the meaning of the UCC, and (ii) the sale, assignment and transfer of the Conveyed Receivables and Related Assets provided for in this Agreement shall be treated as the grant of, and the Originators hereby grant to the SPV, a security interest in the Conveyed Receivables and Related Assets to secure the payment and performance of the Originators’ obligations to the SPV hereunder and under the other Transaction Documents or as may be determined in connection therewith by applicable Law. The Originators and the SPV shall, to the extent consistent with this Agreement, take such actions as may be necessary to ensure that, if this Agreement were deemed to create a security interest in, and not to constitute a sale of, the Conveyed Receivables and Related Assets, such security interest would be deemed to be a perfected security interest in favor of the SPV under applicable Law and shall be maintained as such throughout the term of this Agreement.</w:t>
      </w:r>
    </w:p>
    <w:p>
      <w:pPr>
        <w:spacing w:after="0" w:line="152" w:lineRule="exact"/>
        <w:rPr>
          <w:sz w:val="20"/>
          <w:szCs w:val="20"/>
          <w:color w:val="auto"/>
        </w:rPr>
      </w:pPr>
    </w:p>
    <w:p>
      <w:pPr>
        <w:jc w:val="both"/>
        <w:ind w:firstLine="656"/>
        <w:spacing w:after="0" w:line="217" w:lineRule="auto"/>
        <w:tabs>
          <w:tab w:leader="none" w:pos="12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Originators hereby grant to the SPV a security interest in the Blocked Accounts as additional collateral to secure the payment and performance of the Originators’ obligations to the SPV hereunder and under the other Transaction Documents or as may be determined in connection therewith by applicable Law, and shall take such actions as may be necessary to ensure that such security interest would be deemed to be a perfected security interest in favor of the SPV under applicable Law and shall be maintained as such throughout the term of this Agreement.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 Except as specifically provided in this Agreement, the purchase and sale of the Conveyed Receivables and Related Assets under this Agreement shall be without recourse to any Originator.</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No Assumption of Obligations</w:t>
      </w:r>
      <w:r>
        <w:rPr>
          <w:rFonts w:ascii="Times New Roman" w:cs="Times New Roman" w:eastAsia="Times New Roman" w:hAnsi="Times New Roman"/>
          <w:sz w:val="22"/>
          <w:szCs w:val="22"/>
          <w:color w:val="auto"/>
        </w:rPr>
        <w:t>. The SPV shall not have any obligation or liability with respect to any Conveyed Receivables, Contracts or other Related Assets, nor shall the SPV have any obligation or liability to any Obligor or other customer or client of any Originator (including without limitation any obligation to perform any of the obligations of any Originator under any Conveyed Receivables, Contracts or other Related Assets).</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UCC Filing</w:t>
      </w:r>
      <w:r>
        <w:rPr>
          <w:rFonts w:ascii="Times New Roman" w:cs="Times New Roman" w:eastAsia="Times New Roman" w:hAnsi="Times New Roman"/>
          <w:sz w:val="22"/>
          <w:szCs w:val="22"/>
          <w:color w:val="auto"/>
        </w:rPr>
        <w:t xml:space="preserve">. The Originators shall record and file, at their own expense, any financing statements (and continuation statements with respect to such financing statements when applicable) with respect to the Conveyed Receivables and the Related Assets then existing and thereafter created (and, in any case, conveyed to the SPV hereunder) for the transfer and grant, as applicable, of accounts, equipment, instruments, chattel paper and general intangibles (as defined in the UCC) meeting the requirements of applicable state law in such manner and in such jurisdictions as are reasonably requested by the SPV or any Managing Agent and necessary to perfect the transfer and assignment of such Conveyed Receivables and Related Assets to the SPV (and to the Agent (for the benefit of the Secured Parties) as assignee thereof). The Originators have delivered or shall, within two (2) Business Days following the Purchase Date of any Conveyed Receivable, deliver a file-stamped copy of such financing statements to the SPV and the Agent, and have taken, or shall take, at the Originators’ own expense, all other steps as are necessary under applicable Law (including the filing of any additional financing statements in connection with any Subsequent Purchase) to perfect such transfers and assignments and has delivered to the SPV and the Agent, or shall deliver, confirmation of such steps including any assignments, as are necessary or are reasonably requested by the SPV or any Managing Agent. The Originators hereby authorize the Servicer to file such financing statements or take such other action described in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on behalf of the Originators, at the Originators’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5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Originator further agrees, at its own expense, with respect to the Conveyed Receivables and Related Assets conveyed by it to the SPV hereunder, on or prior to each Purchase Date, to indicate on its computer files that such Conveyed Receivables and Related Assets have been conveyed pursuant to this Agreement. Each Conveyed Receivable and Related Asset purchased hereunder shall be included in and become part of the Records.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jc w:val="center"/>
        <w:spacing w:after="0"/>
        <w:rPr>
          <w:sz w:val="20"/>
          <w:szCs w:val="20"/>
          <w:color w:val="auto"/>
        </w:rPr>
      </w:pPr>
      <w:r>
        <w:rPr>
          <w:rFonts w:ascii="Times New Roman" w:cs="Times New Roman" w:eastAsia="Times New Roman" w:hAnsi="Times New Roman"/>
          <w:sz w:val="22"/>
          <w:szCs w:val="22"/>
          <w:b w:val="1"/>
          <w:bCs w:val="1"/>
          <w:color w:val="auto"/>
        </w:rPr>
        <w:t>CONSIDERATION AND PAYMENT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hereby agrees to pay each Originator with respect to any Conveyed Receivables and the Related Assets purchased by the SPV from such Originator on each Purchase Date a purchase price (in each case, the “</w:t>
      </w:r>
      <w:r>
        <w:rPr>
          <w:rFonts w:ascii="Times New Roman" w:cs="Times New Roman" w:eastAsia="Times New Roman" w:hAnsi="Times New Roman"/>
          <w:sz w:val="22"/>
          <w:szCs w:val="22"/>
          <w:u w:val="single" w:color="auto"/>
          <w:color w:val="auto"/>
        </w:rPr>
        <w:t>Asset Purchase Price</w:t>
      </w:r>
      <w:r>
        <w:rPr>
          <w:rFonts w:ascii="Times New Roman" w:cs="Times New Roman" w:eastAsia="Times New Roman" w:hAnsi="Times New Roman"/>
          <w:sz w:val="22"/>
          <w:szCs w:val="22"/>
          <w:color w:val="auto"/>
        </w:rPr>
        <w:t>”) equal to the fair market value of all such Conveyed Receivables and Related Assets then being sold by such Originator to the SPV on such Purchase Date.</w:t>
      </w:r>
    </w:p>
    <w:p>
      <w:pPr>
        <w:spacing w:after="0" w:line="152"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SPV shall pay each Originator the Asset Purchase Price with respect to each Conveyed Receivable and Related Assets sold by such Originator to the SPV on the applicable Purchase Date by transfer of funds, to the extent that the SPV has funds available for that purpose after (i) satisfying the SPV’s current obligations under the Second Tier Agreement and</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1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into account the proceeds that the SPV expects to receive from the Investors pursuant to the Second Tier Agreement on such Purchase Date. To the extent that such funds are insufficient, then at the election of such Originator, either (x) solely with respect to GP, the remaining Conveyed Receivables and Related Assets shall be deemed to have been transferred by GP to the SPV as a capital contribution, in return for an increase in the value of the membership interests of the SPV held by GP or (y) if the Minimum Capital Test is satisfied and the applicable Originator so elects, by notice to the Agent, the remainder of the Asset Purchase Price shall be deferred (the “</w:t>
      </w:r>
      <w:r>
        <w:rPr>
          <w:rFonts w:ascii="Times New Roman" w:cs="Times New Roman" w:eastAsia="Times New Roman" w:hAnsi="Times New Roman"/>
          <w:sz w:val="22"/>
          <w:szCs w:val="22"/>
          <w:u w:val="single" w:color="auto"/>
          <w:color w:val="auto"/>
        </w:rPr>
        <w:t>Deferred Purchase Price</w:t>
      </w:r>
      <w:r>
        <w:rPr>
          <w:rFonts w:ascii="Times New Roman" w:cs="Times New Roman" w:eastAsia="Times New Roman" w:hAnsi="Times New Roman"/>
          <w:sz w:val="22"/>
          <w:szCs w:val="22"/>
          <w:color w:val="auto"/>
        </w:rPr>
        <w:t xml:space="preserve">”) and shall be paid by the SPV from time to time when the SPV has funds that are not otherwise needed to satisfy the SPV’s obligations under the Second Tier Agreement (to the extent then due and payable), to pay for new Conveyed Receivables and Related Assets or to pay interest pursuant to </w:t>
      </w:r>
      <w:r>
        <w:rPr>
          <w:rFonts w:ascii="Times New Roman" w:cs="Times New Roman" w:eastAsia="Times New Roman" w:hAnsi="Times New Roman"/>
          <w:sz w:val="22"/>
          <w:szCs w:val="22"/>
          <w:u w:val="single" w:color="auto"/>
          <w:color w:val="auto"/>
        </w:rPr>
        <w:t>subsection 3.1(d)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remainder of the Asset Purchase Price shall in any event be payable not later than one (1) year after the Final Payout Date.</w:t>
      </w:r>
    </w:p>
    <w:p>
      <w:pPr>
        <w:spacing w:after="0" w:line="15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Conveyed Receivables and Related Assets, if any, that have been conveyed hereunder by way of capital contribution by an Originator shall be administered and otherwise treated hereunder in the same way as Conveyed Receivables and Related Assets that have been conveyed by way of sale.</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shall pay interest on the aggregate Deferred Purchase Price outstanding from time to time under this Agreement at a variable rate per annum equal to the rate of interest publicly announced from time to time by PNC as its “prime rate”. Such interest shall be computed on the basis of the actual number of days elapsed and a 360 day year and shall be paid on each Settlement Date, to the extent the SPV has available funds that are not needed to satisfy the SPV’s obligations under the Second Tier Agreement (to the extent then due and payable) or to pay for new Conveyed Receivables and Related Assets.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Subordination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56"/>
        <w:spacing w:after="0" w:line="236" w:lineRule="auto"/>
        <w:tabs>
          <w:tab w:leader="none" w:pos="129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payment and performance of the Subordinated Obligations is hereby subordinated to the Senior Obligations and, except as set forth in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the Originators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will not ask, demand, sue for, take or receive from the SPV, by setoff or in any other manner, the whole or any part of any Subordinated Obligations, unless and until the Senior Obligations shall have been fully paid and satisfied (the temporary reduction of outstanding Senior Obligations not being deemed to constitute full payment or satisfaction thereof).</w:t>
      </w:r>
    </w:p>
    <w:p>
      <w:pPr>
        <w:spacing w:after="0" w:line="153" w:lineRule="exact"/>
        <w:rPr>
          <w:sz w:val="20"/>
          <w:szCs w:val="20"/>
          <w:color w:val="auto"/>
        </w:rPr>
      </w:pPr>
    </w:p>
    <w:p>
      <w:pPr>
        <w:jc w:val="both"/>
        <w:ind w:firstLine="656"/>
        <w:spacing w:after="0" w:line="220"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and subject to </w:t>
      </w:r>
      <w:r>
        <w:rPr>
          <w:rFonts w:ascii="Times New Roman" w:cs="Times New Roman" w:eastAsia="Times New Roman" w:hAnsi="Times New Roman"/>
          <w:sz w:val="22"/>
          <w:szCs w:val="22"/>
          <w:u w:val="single" w:color="auto"/>
          <w:color w:val="auto"/>
        </w:rPr>
        <w:t>clauses (c)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below, the SPV may pay the purchase price for the Conveyed Receivables and Related Assets, interest thereon and other Restricted Payments as provided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from funds available in accordance with Section 2.14 of the Second Tier Agreement (all such payments being herein called “</w:t>
      </w:r>
      <w:r>
        <w:rPr>
          <w:rFonts w:ascii="Times New Roman" w:cs="Times New Roman" w:eastAsia="Times New Roman" w:hAnsi="Times New Roman"/>
          <w:sz w:val="22"/>
          <w:szCs w:val="22"/>
          <w:u w:val="single" w:color="auto"/>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payment in full of the Senior Obligations, the Originators shall have no right to sue for, or otherwise exercise any remedies with respect to, any Permitted Payment, or otherwise take any action against the SPV or the SPV’s property with respect to any Permitted Payment.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any payment or distribution be received by any Originator upon or with respect to the Subordinated Obligations (other than Permitted Payments) prior to the satisfaction of all of the Senior Obligations, such Originator shall receive and hold the same in trust, as trustee, for the benefit of the holders of Senior Obligations, and shall forthwith deliver the same to the Agent (in the form received, except where endorsement or assignment by the Originators is necessary), for application to the Senior Obligations, whether or not then due.</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Event of Bankruptcy with respect to the SPV, (i) the Originators shall promptly file a claim or claims, in the form required in such Event of Bankruptcy, for the full outstanding amount of the Subordinated Obligations, and shall use commercially reasonable efforts to cause such claim or claims to be approved and all payments or other distributions in respect thereof to be made directly to the Agent (for the benefit of the holders of Senior Obligations) until all Senior Obligations shall have been paid and performed in full and in cash, and (ii) the Originators shall not be subrogated to the rights of any such holder to receive payments or distributions from the SPV until one (1) year and one (1) day after payment in full and in cash of all Senior Obligations.</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at any time any payment (in whole or in part) made with respect to any Senior Obligation is rescinded or must be restored or returned (whether in connection with any Event of Bankruptcy or otherwise), the subordination provisions contained in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shall continue to be effective or shall be reinstated, as the case may be, as though such payment had not been made.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subordination provisions contained in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shall not be impaired by amendment or modification to the Transaction Documents or any lack of diligence in the enforcement, collection or protection of, or realization on, the Senior Obligations or any security therefor.</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IV</w:t>
      </w:r>
    </w:p>
    <w:p>
      <w:pPr>
        <w:jc w:val="center"/>
        <w:spacing w:after="0"/>
        <w:rPr>
          <w:sz w:val="20"/>
          <w:szCs w:val="20"/>
          <w:color w:val="auto"/>
        </w:rPr>
      </w:pPr>
      <w:r>
        <w:rPr>
          <w:rFonts w:ascii="Times New Roman" w:cs="Times New Roman" w:eastAsia="Times New Roman" w:hAnsi="Times New Roman"/>
          <w:sz w:val="22"/>
          <w:szCs w:val="22"/>
          <w:b w:val="1"/>
          <w:bCs w:val="1"/>
          <w:color w:val="auto"/>
        </w:rPr>
        <w:t>ADMINISTRATION AND COLLECTION</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Servicing of Receivables</w:t>
      </w:r>
      <w:r>
        <w:rPr>
          <w:rFonts w:ascii="Times New Roman" w:cs="Times New Roman" w:eastAsia="Times New Roman" w:hAnsi="Times New Roman"/>
          <w:sz w:val="22"/>
          <w:szCs w:val="22"/>
          <w:color w:val="auto"/>
        </w:rPr>
        <w:t>. Notwithstanding the sale of Conveyed Receivables pursuant to this Agreement, GP, for so long as it acts as Servicer under the Second Tier Agreement, shall continue to be responsible for the servicing, administration and collection of the Conveyed Receivables, all on the terms set out in (and subject to any rights to terminate the initial Servicer as servicer pursuant to) the Second Tier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Deemed Collections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17"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day the Unpaid Balance of an Eligible Receivable is reduced (but not cancelled) as a result of any Dilution, the applicable Originator(s) shall be deemed to have received on such day a Collection of such Receivable in the amount of such reduction. If on any day an Eligible Receivable is canceled as a result of any Dilution, the applicable Originator(s) shall be deemed to have received on such day a Collection of such Receivable in the amount of the Unpaid Balance (as determined immediately prior to such Dilution) of such Eligible Receivable.</w:t>
      </w:r>
    </w:p>
    <w:p>
      <w:pPr>
        <w:spacing w:after="0" w:line="152"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on any day any representation or warranty of an Originator set forth in </w:t>
      </w:r>
      <w:r>
        <w:rPr>
          <w:rFonts w:ascii="Times New Roman" w:cs="Times New Roman" w:eastAsia="Times New Roman" w:hAnsi="Times New Roman"/>
          <w:sz w:val="21"/>
          <w:szCs w:val="21"/>
          <w:u w:val="single" w:color="auto"/>
          <w:color w:val="auto"/>
        </w:rPr>
        <w:t>Section 5.1(d)</w:t>
      </w:r>
      <w:r>
        <w:rPr>
          <w:rFonts w:ascii="Times New Roman" w:cs="Times New Roman" w:eastAsia="Times New Roman" w:hAnsi="Times New Roman"/>
          <w:sz w:val="21"/>
          <w:szCs w:val="21"/>
          <w:color w:val="auto"/>
        </w:rPr>
        <w:t xml:space="preserve">, or Sections </w:t>
      </w:r>
      <w:r>
        <w:rPr>
          <w:rFonts w:ascii="Times New Roman" w:cs="Times New Roman" w:eastAsia="Times New Roman" w:hAnsi="Times New Roman"/>
          <w:sz w:val="21"/>
          <w:szCs w:val="21"/>
          <w:u w:val="single" w:color="auto"/>
          <w:color w:val="auto"/>
        </w:rPr>
        <w:t>5.2(a)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with respect to any Eligible Receivable (whether on or after the date of transfer thereof to the SPV as contemplated hereunder) is determined to be incorrect as of such time when such representation or warranty was made or confirmed, such Originator shall be deemed to have received on such day a Collection of such Eligible Receivable in an amount equal to its Unpaid Balance.</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 later than the second Business Day following any deemed Collection under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such Originator(s) shall pay to the SPV an amount equal to such deemed Collection, and such amount shall be paid by the SPV as a Collection in accordance with Section 2.12 of the Second Tier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SPV subsequently receives actual Collections with respect to any deemed Collections with respect to any Receivable referenced in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the SPV shall pay such Originator an amount equal to the amount so collected, such amount to be payable in the same manner and priority as the Deferred Purchase Price.</w:t>
      </w:r>
    </w:p>
    <w:p>
      <w:pPr>
        <w:spacing w:after="0" w:line="15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u w:val="single" w:color="auto"/>
          <w:color w:val="auto"/>
        </w:rPr>
        <w:t>Actions Evidencing Purchases</w:t>
      </w:r>
      <w:r>
        <w:rPr>
          <w:rFonts w:ascii="Times New Roman" w:cs="Times New Roman" w:eastAsia="Times New Roman" w:hAnsi="Times New Roman"/>
          <w:sz w:val="21"/>
          <w:szCs w:val="21"/>
          <w:color w:val="auto"/>
        </w:rPr>
        <w:t>. (a) As of the date hereof, each Originator shall mark its master data processing records evidencing Receivables with a legend, reasonably acceptable to the SPV, evidencing that the Conveyed Receivables have been sold in accordance with this Agreement. In addition, each Originator agrees that from time to time, at its expense, it shall promptly execute and deliver all further instruments and documents, and take all further action, that the SPV or its assignee may reasonably request in order to perfect, protect or more fully evidence the purchases hereunder, or to enable the SPV or its assigns to exercise or enforce any of their respective rights with respect to the Conveyed Receivables and Related Assets. Without limiting the generality of the foregoing, each Originator shall, upon the request of the SPV or its designee;</w:t>
      </w:r>
    </w:p>
    <w:p>
      <w:pPr>
        <w:spacing w:after="0" w:line="1" w:lineRule="exact"/>
        <w:rPr>
          <w:sz w:val="20"/>
          <w:szCs w:val="20"/>
          <w:color w:val="auto"/>
        </w:rPr>
      </w:pPr>
    </w:p>
    <w:p>
      <w:pPr>
        <w:jc w:val="both"/>
        <w:ind w:firstLine="8"/>
        <w:spacing w:after="0" w:line="214" w:lineRule="auto"/>
        <w:tabs>
          <w:tab w:leader="none" w:pos="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and file such financing or continuation statements, or amendments thereto or assignments thereof, and such other instruments or notices, as may be necessary or appropriate and (ii) mark conspicuously each Contract evidencing each Retained Receivable with a legend, acceptable to the SPV, evidencing that the related Retained Receivables have not been sold in accordance with this Agreement.</w:t>
      </w:r>
    </w:p>
    <w:p>
      <w:pPr>
        <w:spacing w:after="0" w:line="153"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Originator hereby authorizes the SPV or its designee to (i) file one or more financing or continuation statements, and amendments thereto and assignments thereof, relative to all or any of the Conveyed Receivables and Related Assets now existing or hereafter arising in the name of such Originator and (ii) to the extent permitted by the Second Tier Agreement, notify Obligors of the assignment of the Conveyed Receivables and Related Assets.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each Originator shall, not earlier than six (6) months and not later than three (3) months prior to the fifth (5th) anniversary of the date of filing of the financing statements filed in connection with the Closing Date or any other financing statement filed pursuant to this Agreement, if the Final Payout Date shall not have occurred: (i) execute and deliver and file or cause to be filed appropriate continuation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and (ii) if required by the Agent, deliver or cause to be delivered to the Agent an opinion of counsel for such Originator in form and substance and delivered by counsel reasonably satisfactory to the SPV, confirming and updating the opinion delivered in connection with the Closing Date relating to the validity, perfection and priority of the SPV’s interests in the Conveyed Receivables.</w:t>
      </w:r>
    </w:p>
    <w:p>
      <w:pPr>
        <w:spacing w:after="0" w:line="1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V</w:t>
      </w: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Mutual Representations and Warranties</w:t>
      </w:r>
      <w:r>
        <w:rPr>
          <w:rFonts w:ascii="Times New Roman" w:cs="Times New Roman" w:eastAsia="Times New Roman" w:hAnsi="Times New Roman"/>
          <w:sz w:val="22"/>
          <w:szCs w:val="22"/>
          <w:color w:val="auto"/>
        </w:rPr>
        <w:t>. Each Originator and the SPV represents and warrants to the other and the Agent, as to itself only, that, on each Initial Purchase Date and on each Subsequent Purchase Date:</w:t>
      </w:r>
    </w:p>
    <w:p>
      <w:pPr>
        <w:spacing w:after="0" w:line="150" w:lineRule="exact"/>
        <w:rPr>
          <w:sz w:val="20"/>
          <w:szCs w:val="20"/>
          <w:color w:val="auto"/>
        </w:rPr>
      </w:pPr>
    </w:p>
    <w:p>
      <w:pPr>
        <w:jc w:val="both"/>
        <w:ind w:firstLine="656"/>
        <w:spacing w:after="0" w:line="224" w:lineRule="auto"/>
        <w:tabs>
          <w:tab w:leader="none" w:pos="1293"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Corporate Existence and Power</w:t>
      </w:r>
      <w:r>
        <w:rPr>
          <w:rFonts w:ascii="Times New Roman" w:cs="Times New Roman" w:eastAsia="Times New Roman" w:hAnsi="Times New Roman"/>
          <w:sz w:val="21"/>
          <w:szCs w:val="21"/>
          <w:color w:val="auto"/>
        </w:rPr>
        <w:t>. It (i) is validly existing and in good standing under the laws of its jurisdiction of organization, (ii) was duly organized, (iii) has all corporate or limited liability company power and all licenses, authorizations, consents and approvals of all Official Bodies required to carry on its business in each jurisdiction in which its business is now and proposed to be conducted (except where the failure to have any such licenses, authorizations, consents and approvals would not individually or in the aggregate reasonably be expected to have a Material Adverse Effect) and (iv) is duly qualified to do business and is in good standing in every other jurisdiction in which the nature of its business requires it to be so qualified, except where the failure to be so qualified or in good standing would not reasonably be expected to have a Material Adverse Effect.</w:t>
      </w:r>
    </w:p>
    <w:p>
      <w:pPr>
        <w:spacing w:after="0" w:line="150" w:lineRule="exact"/>
        <w:rPr>
          <w:rFonts w:ascii="Times New Roman" w:cs="Times New Roman" w:eastAsia="Times New Roman" w:hAnsi="Times New Roman"/>
          <w:sz w:val="21"/>
          <w:szCs w:val="21"/>
          <w:color w:val="auto"/>
        </w:rPr>
      </w:pPr>
    </w:p>
    <w:p>
      <w:pPr>
        <w:jc w:val="both"/>
        <w:ind w:firstLine="656"/>
        <w:spacing w:after="0" w:line="210"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No Contravention</w:t>
      </w:r>
      <w:r>
        <w:rPr>
          <w:rFonts w:ascii="Times New Roman" w:cs="Times New Roman" w:eastAsia="Times New Roman" w:hAnsi="Times New Roman"/>
          <w:sz w:val="22"/>
          <w:szCs w:val="22"/>
          <w:color w:val="auto"/>
        </w:rPr>
        <w:t xml:space="preserve">. The execution, delivery and performance by it of this Agreement, the Second Tier Agreement and the other Transaction Documents to which it is a party (i) are within its corporate or limited liability company powers, (ii) have been duly authorized by all necessary corporate or limited liability company action, (iii) require no action by or in respect of, or filing with, any Official Body or official thereof (except as contemplated by this Agreement), (iv) do not contravene or constitute a default under (A) its organizational documents, (B) any Law applicable to it, (C) any provision of any indenture, agreement or other instrument evidencing material Indebtedness to which it is a party or by which any of its property may be bound or (D) any order, writ, judgment, award, injunction, decree or other instrument binding on or affecting it or its property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with respect to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to the extent the contravention or default under such Law, contractual restriction, order, writ, judgment, award, injunction, decree or other instrument would not reasonably be expected to have a Material Adverse Effect, or (v) result in the creation or imposition of any Adverse Claim upon or with respect to its property (except as contemplated hereby).</w:t>
      </w:r>
    </w:p>
    <w:p>
      <w:pPr>
        <w:spacing w:after="0" w:line="157"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Each of this Agreement and the other Transaction Documents to which it is a party have been duly executed and delivered and constitute its legal, valid and binding obligation, enforceable against it in accordance with their terms, subject to applicable bankruptcy, insolvency, moratorium or other similar laws affecting the rights of creditors generally (whether at law or equity).</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Preference; Voidability</w:t>
      </w:r>
      <w:r>
        <w:rPr>
          <w:rFonts w:ascii="Times New Roman" w:cs="Times New Roman" w:eastAsia="Times New Roman" w:hAnsi="Times New Roman"/>
          <w:sz w:val="22"/>
          <w:szCs w:val="22"/>
          <w:color w:val="auto"/>
        </w:rPr>
        <w:t>. The SPV shall have given reasonably equivalent value to each Originator in consideration for the transfer to the SPV of the Conveyed Receivables and Related Assets from such Originator, and each such transfer shall not have been made for or on account of an antecedent debt owed by any Originator to the SPV and no such transfer is or may be voidable under any section of the Bankruptcy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3"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Laws; Licenses, etc</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5"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in compliance in all material respects with the requirements of all applicable laws, rules, regulations, and orders of all Official Bodies (including, without limitation, the Federal Consumer Credit Protection Act, as amended, Regulation Z of the Board of Governors of the Federal Reserve System, as amended, laws, rules and regulations relating to usury, truth in lending, fair credit billing, fair credit reporting, equal credit opportunity, fair debt collection practices and privacy and all other consumer laws, rules and regulations applicable to the Conveyed Receivables), a breach of any of which, individually or in the aggregate, would be reasonably likely to have a Material Adverse Effect.</w:t>
      </w:r>
    </w:p>
    <w:p>
      <w:pPr>
        <w:spacing w:after="0" w:line="153" w:lineRule="exact"/>
        <w:rPr>
          <w:rFonts w:ascii="Times New Roman" w:cs="Times New Roman" w:eastAsia="Times New Roman" w:hAnsi="Times New Roman"/>
          <w:sz w:val="21"/>
          <w:szCs w:val="21"/>
          <w:color w:val="auto"/>
        </w:rPr>
      </w:pPr>
    </w:p>
    <w:p>
      <w:pPr>
        <w:jc w:val="both"/>
        <w:ind w:left="660" w:firstLine="644"/>
        <w:spacing w:after="0" w:line="217" w:lineRule="auto"/>
        <w:tabs>
          <w:tab w:leader="none" w:pos="1947"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 failed to obtain any licenses, permits, franchises or other governmental authorizations necessary to the ownership of its properties or to the conduct of its business (including, without limitation, any registration requirements or other actions as may be necessary in any applicable jurisdiction in connection with the ownership of the Contracts or the Conveyed Receivables and other related assets), which violation or failure to obtain would be reasonably likely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Each of the Originators and the SPV represents and warrants as to itself that each remittance of Collections by such Originator to the SPV under this Agreement will have been (i) in payment of a debt incurred by such Originator in the ordinary course of business or financial affairs of such Originator and the SPV and (ii) made in the ordinary course of business or financial affairs of such Originator and the SPV.</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Originators’ Additional Representations and Warranties</w:t>
      </w:r>
      <w:r>
        <w:rPr>
          <w:rFonts w:ascii="Times New Roman" w:cs="Times New Roman" w:eastAsia="Times New Roman" w:hAnsi="Times New Roman"/>
          <w:sz w:val="22"/>
          <w:szCs w:val="22"/>
          <w:color w:val="auto"/>
        </w:rPr>
        <w:t>. Each Originator represents and warrants to the</w:t>
      </w:r>
    </w:p>
    <w:p>
      <w:pPr>
        <w:spacing w:after="0"/>
        <w:rPr>
          <w:sz w:val="20"/>
          <w:szCs w:val="20"/>
          <w:color w:val="auto"/>
        </w:rPr>
      </w:pPr>
      <w:r>
        <w:rPr>
          <w:rFonts w:ascii="Times New Roman" w:cs="Times New Roman" w:eastAsia="Times New Roman" w:hAnsi="Times New Roman"/>
          <w:sz w:val="22"/>
          <w:szCs w:val="22"/>
          <w:color w:val="auto"/>
        </w:rPr>
        <w:t>SPV and the Agent, as to itself only, that, on each Initial Purchase Date and on each Subsequent Purchase Date:</w:t>
      </w:r>
    </w:p>
    <w:p>
      <w:pPr>
        <w:spacing w:after="0" w:line="155" w:lineRule="exact"/>
        <w:rPr>
          <w:sz w:val="20"/>
          <w:szCs w:val="20"/>
          <w:color w:val="auto"/>
        </w:rPr>
      </w:pPr>
    </w:p>
    <w:p>
      <w:pPr>
        <w:jc w:val="both"/>
        <w:ind w:firstLine="656"/>
        <w:spacing w:after="0" w:line="212" w:lineRule="auto"/>
        <w:tabs>
          <w:tab w:leader="none" w:pos="129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Good Title</w:t>
      </w:r>
      <w:r>
        <w:rPr>
          <w:rFonts w:ascii="Times New Roman" w:cs="Times New Roman" w:eastAsia="Times New Roman" w:hAnsi="Times New Roman"/>
          <w:sz w:val="22"/>
          <w:szCs w:val="22"/>
          <w:color w:val="auto"/>
        </w:rPr>
        <w:t xml:space="preserve">. Immediately preceding each Purchase hereunder, each Originator is the owner of all of the Conveyed Receivables and all Related Assets to be sold by it pursuant to such Purchase, free and clear of all Adverse Claims (other than any Adverse Claim arising hereunder or under the Second Tier Agreement). The representations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are true and correct as applied to each Originator. This Agreement constitutes a valid sale, transfer and assignment of the Conveyed Receivables and Related Assets to the SPV and, upon each Purchase, the SPV shall acquire a valid and enforceable perfected first priority ownership interest or a first priority perfected security interest in each Conveyed Receivable and all of the Related Assets that exist on the date of such Purchase, with respect thereto, free and clear of any Adverse Claim (other than pursuant to this Agreement or the Second Tier Agreement).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All factual information (taken as a whole) heretofore or contemporaneously furnished by or on behalf of the SPV, the Servicer, each Originator or Greif, Inc. or any of their Subsidiaries or Affiliates in writing to any Investor, Managing Agent or the Agent (including, without limitation, all information contained in the Transaction Documents) for purposes of or in connection with this Agreement or any transaction contemplated herein is, and all other such factual information (taken as a whole) hereafter furnished by or on behalf of the SPV, the Servicer, each Originator or Greif, Inc. or any of their Subsidiaries or Affiliates in writing to any Investor, Managing Agent or the Agent for purposes of or in connection with this Agreement or any transaction contemplated herein, when taken as a whole, do not contain as of the date furnished any untrue statement of material fact or omit to state a material fact necessary in order to make the statements contained herein or therein, in light of the circumstances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which they were made, not misleading. The SPV, the Servicer, each Originator and Greif, Inc. and any of their Subsidiaries or Affiliates have disclosed to each Investor, each Managing Agent and the Agent (a) all agreements, instruments and corporate or other restrictions to which SPV, the Servicer, each Originator or Greif, Inc. or any of their Subsidiaries or Affiliates is subject, and (b) all other matters known to any of them, that individually or in the aggregate with respect to (a) and (b) above, would reasonably be expected to result in a Material Adverse Effect.</w:t>
      </w:r>
    </w:p>
    <w:p>
      <w:pPr>
        <w:spacing w:after="0" w:line="152" w:lineRule="exact"/>
        <w:rPr>
          <w:sz w:val="20"/>
          <w:szCs w:val="20"/>
          <w:color w:val="auto"/>
        </w:rPr>
      </w:pPr>
    </w:p>
    <w:p>
      <w:pPr>
        <w:jc w:val="both"/>
        <w:ind w:firstLine="656"/>
        <w:spacing w:after="0" w:line="217" w:lineRule="auto"/>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Each of the Originators has (i) timely filed all tax returns (federal, state and local) required to be filed by it and (ii) paid or made adequate provision for the payment of all taxes, assessments and other material governmental charges, other than (x) those taxes, assessments, or charges that are being contested in good faith through appropriate proceedings and for which adequate reserves in accordance with GAAP have been provided and (y) to the extent that the failure to do so would not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Suits</w:t>
      </w:r>
      <w:r>
        <w:rPr>
          <w:rFonts w:ascii="Times New Roman" w:cs="Times New Roman" w:eastAsia="Times New Roman" w:hAnsi="Times New Roman"/>
          <w:sz w:val="22"/>
          <w:szCs w:val="22"/>
          <w:color w:val="auto"/>
        </w:rPr>
        <w:t>. It is not in violation of any order of any Official Body that would reasonably be expected to have a Material Adverse Effect. Except as set forth in Schedule 4.1(g) to the Disclosure Letter, there are no actions, suits or proceedings pending or, to the best knowledge of the SPV, threatened (i) against the SPV, the Servicer, any Originator or Greif, Inc. or any of their Subsidiaries or Affiliates challenging the validity or enforceability of any material provision of any Transaction Document, or (ii) that would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No proceeds of any Purchase hereunder shall be used by an Originator (i) to acquire any security in any transaction which is subject to Section 13 or 14 of the Securities Exchange Act of 1934, (ii) to acquire any equity security of a class which is registered pursuant to Section 12 of such Act or (iii) for any other purpose that violates applicable Law, including Regulation U of the Federal Reserve Board.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Place of Business; Chief Executive Office; Location of Records</w:t>
      </w:r>
      <w:r>
        <w:rPr>
          <w:rFonts w:ascii="Times New Roman" w:cs="Times New Roman" w:eastAsia="Times New Roman" w:hAnsi="Times New Roman"/>
          <w:sz w:val="22"/>
          <w:szCs w:val="22"/>
          <w:color w:val="auto"/>
        </w:rPr>
        <w:t xml:space="preserve">. The principal place of business, chief executive office and the offices where each Originator keeps all its Records, are located at the address(es) described on Schedule 4.1(i) of the Disclosure Letter or such other locations notified to the SPV in accordance with </w:t>
      </w:r>
      <w:r>
        <w:rPr>
          <w:rFonts w:ascii="Times New Roman" w:cs="Times New Roman" w:eastAsia="Times New Roman" w:hAnsi="Times New Roman"/>
          <w:sz w:val="22"/>
          <w:szCs w:val="22"/>
          <w:u w:val="single" w:color="auto"/>
          <w:color w:val="auto"/>
        </w:rPr>
        <w:t>Section 6.3(g)</w:t>
      </w:r>
      <w:r>
        <w:rPr>
          <w:rFonts w:ascii="Times New Roman" w:cs="Times New Roman" w:eastAsia="Times New Roman" w:hAnsi="Times New Roman"/>
          <w:sz w:val="22"/>
          <w:szCs w:val="22"/>
          <w:color w:val="auto"/>
        </w:rPr>
        <w:t xml:space="preserve"> in jurisdictions where all action required by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has been taken and completed.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Subsidiaries; Tradenames, Etc.</w:t>
      </w:r>
      <w:r>
        <w:rPr>
          <w:rFonts w:ascii="Times New Roman" w:cs="Times New Roman" w:eastAsia="Times New Roman" w:hAnsi="Times New Roman"/>
          <w:sz w:val="22"/>
          <w:szCs w:val="22"/>
          <w:color w:val="auto"/>
        </w:rPr>
        <w:t xml:space="preserve"> As of the date hereof, no Originator has, within the last five (5) years, operated under any tradename other than its legal name, and, within the last five (5) years, no Originator has changed its name, merged with or into or consolidated with any other Person or been the subject of any proceeding under the Bankruptcy Code. Schedule 4.1(j) of the Disclosure Letter lists the correct Federal Employer Identification Number of each Originator.</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Receivables</w:t>
      </w:r>
      <w:r>
        <w:rPr>
          <w:rFonts w:ascii="Times New Roman" w:cs="Times New Roman" w:eastAsia="Times New Roman" w:hAnsi="Times New Roman"/>
          <w:sz w:val="22"/>
          <w:szCs w:val="22"/>
          <w:color w:val="auto"/>
        </w:rPr>
        <w:t xml:space="preserve">. Each Conveyed Receivable is an Eligible Receivable. On the Purchase Date of any Conveyed Receivable by the SPV hereunder, no Originator has any knowledge of any fact (including any defaults by the Obligor thereunder on any other Conveyed Receivable represented by it to be an Eligible Receivable) that would cause it or should have caused it to expect any payments on such Receivable not to be paid in full when due;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Receivables may be subject to historical delinquency or default issues to the same extent as other previous receivables of such Originator. Substantially all of the Conveyed Receivables arise from the sale of goods or services.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Each Originator has at all times complied in all material respects with the Credit and Collection Policy with regard to each Eligible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3"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On and since the Closing Date there has been no Material Adverse Effect.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w:t>
      </w:r>
      <w:r>
        <w:rPr>
          <w:rFonts w:ascii="Times New Roman" w:cs="Times New Roman" w:eastAsia="Times New Roman" w:hAnsi="Times New Roman"/>
          <w:sz w:val="22"/>
          <w:szCs w:val="22"/>
          <w:color w:val="auto"/>
        </w:rPr>
        <w:t>. No event has occurred and is continuing and no condition exists which constitutes a Termination Event or a Potential Termination Event as applied to any Originator.</w:t>
      </w:r>
    </w:p>
    <w:p>
      <w:pPr>
        <w:spacing w:after="0" w:line="150" w:lineRule="exact"/>
        <w:rPr>
          <w:rFonts w:ascii="Times New Roman" w:cs="Times New Roman" w:eastAsia="Times New Roman" w:hAnsi="Times New Roman"/>
          <w:sz w:val="22"/>
          <w:szCs w:val="22"/>
          <w:color w:val="auto"/>
        </w:rPr>
      </w:pPr>
    </w:p>
    <w:p>
      <w:pPr>
        <w:ind w:firstLine="656"/>
        <w:spacing w:after="0" w:line="255" w:lineRule="auto"/>
        <w:tabs>
          <w:tab w:leader="none" w:pos="128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 an Investment Company or Holding Company</w:t>
      </w:r>
      <w:r>
        <w:rPr>
          <w:rFonts w:ascii="Times New Roman" w:cs="Times New Roman" w:eastAsia="Times New Roman" w:hAnsi="Times New Roman"/>
          <w:sz w:val="21"/>
          <w:szCs w:val="21"/>
          <w:color w:val="auto"/>
        </w:rPr>
        <w:t>. No Originator is, or is controlled by, an “investment company” within the meaning of the Investment Company Act of 1940, or such Originator is exempt from all provisions of such act.</w:t>
      </w:r>
    </w:p>
    <w:p>
      <w:pPr>
        <w:spacing w:after="0" w:line="134" w:lineRule="exact"/>
        <w:rPr>
          <w:rFonts w:ascii="Times New Roman" w:cs="Times New Roman" w:eastAsia="Times New Roman" w:hAnsi="Times New Roman"/>
          <w:sz w:val="21"/>
          <w:szCs w:val="21"/>
          <w:color w:val="auto"/>
        </w:rPr>
      </w:pPr>
    </w:p>
    <w:p>
      <w:pPr>
        <w:jc w:val="both"/>
        <w:ind w:firstLine="656"/>
        <w:spacing w:after="0" w:line="217" w:lineRule="auto"/>
        <w:tabs>
          <w:tab w:leader="none" w:pos="128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Except as, in the aggregate, would not reasonably be expected to have a Material Adverse Effect, no steps have been taken by any Person to terminate any Pension Plan the assets of which are not sufficient to satisfy all of any Originator’s benefit liabilities (as determined under Title IV of ERISA), no contribution failure has occurred or is expected to occur with respect to any Pension Plan sufficient to give rise to a lien under Section 302(f) of ERISA, and each Pension Plan has been administered in all material respects in compliance with its terms and applicable provision of ERISA and the Code.</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Blocked Accounts</w:t>
      </w:r>
      <w:r>
        <w:rPr>
          <w:rFonts w:ascii="Times New Roman" w:cs="Times New Roman" w:eastAsia="Times New Roman" w:hAnsi="Times New Roman"/>
          <w:sz w:val="22"/>
          <w:szCs w:val="22"/>
          <w:color w:val="auto"/>
        </w:rPr>
        <w:t xml:space="preserve">. The names and addresses of all the Blocked Account Banks, together with the account numbers of the Blocked Accounts at such Blocked Account Banks, are specified in Schedule 4.1(s) of the Disclosure Letter (or at such other Blocked Account Banks and/or with such other Blocked Accounts as have been notified to the SPV and each Managing Agent and for which Blocked Account Agreements have been executed in accordance with </w:t>
      </w:r>
      <w:r>
        <w:rPr>
          <w:rFonts w:ascii="Times New Roman" w:cs="Times New Roman" w:eastAsia="Times New Roman" w:hAnsi="Times New Roman"/>
          <w:sz w:val="22"/>
          <w:szCs w:val="22"/>
          <w:u w:val="single" w:color="auto"/>
          <w:color w:val="auto"/>
        </w:rPr>
        <w:t>Section 6.3(g)</w:t>
      </w:r>
      <w:r>
        <w:rPr>
          <w:rFonts w:ascii="Times New Roman" w:cs="Times New Roman" w:eastAsia="Times New Roman" w:hAnsi="Times New Roman"/>
          <w:sz w:val="22"/>
          <w:szCs w:val="22"/>
          <w:color w:val="auto"/>
        </w:rPr>
        <w:t xml:space="preserve"> and delivered to the Servicer and the Agent). All Blocked Accounts are subject to Blocked Account Agreements. All Obligors have been instructed to make payment to a Blocked Account;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cash or cash proceeds other than Collections on Receivables are deposited into a Blocked Account (the “</w:t>
      </w:r>
      <w:r>
        <w:rPr>
          <w:rFonts w:ascii="Times New Roman" w:cs="Times New Roman" w:eastAsia="Times New Roman" w:hAnsi="Times New Roman"/>
          <w:sz w:val="22"/>
          <w:szCs w:val="22"/>
          <w:u w:val="single" w:color="auto"/>
          <w:color w:val="auto"/>
        </w:rPr>
        <w:t>Excluded Amounts</w:t>
      </w:r>
      <w:r>
        <w:rPr>
          <w:rFonts w:ascii="Times New Roman" w:cs="Times New Roman" w:eastAsia="Times New Roman" w:hAnsi="Times New Roman"/>
          <w:sz w:val="22"/>
          <w:szCs w:val="22"/>
          <w:color w:val="auto"/>
        </w:rPr>
        <w:t>”), such Excluded Amounts shall not comprise a part of the Related Assets, and the SPV shall have no right, title or interest in any such Excluded Amounts.</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Sales</w:t>
      </w:r>
      <w:r>
        <w:rPr>
          <w:rFonts w:ascii="Times New Roman" w:cs="Times New Roman" w:eastAsia="Times New Roman" w:hAnsi="Times New Roman"/>
          <w:sz w:val="22"/>
          <w:szCs w:val="22"/>
          <w:color w:val="auto"/>
        </w:rPr>
        <w:t>. No transaction contemplated hereby or by the Second Tier Agreement requires compliance with any bulk sales act or similar law.</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Nonconsolidation</w:t>
      </w:r>
      <w:r>
        <w:rPr>
          <w:rFonts w:ascii="Times New Roman" w:cs="Times New Roman" w:eastAsia="Times New Roman" w:hAnsi="Times New Roman"/>
          <w:sz w:val="22"/>
          <w:szCs w:val="22"/>
          <w:color w:val="auto"/>
        </w:rPr>
        <w:t>. Each Originator shall take all actions required to maintain SPV’s status as a separate legal entity, including (i) not holding the SPV out to third parties as other than an entity with assets and liabilities distinct from such Originator and such Originator’s other Subsidiaries; (ii) not holding itself out to be responsible for any Indebtedness of the SPV or, other than by reason of owning membership interests of the SPV, for any decisions or actions relating to the SPV; (iii) having separate financial statements for the SPV, which may be consolidated under the financial statements of Greif, Inc.; (iv) taking such other actions as are necessary on its part to ensure that all corporate and limited liability company procedures required by its and the SPV’s respective organizational documents are duly and validly taken; (v) keeping correct and complete records and books of account and corporate minutes; and (vi) not acting in any manner that could foreseeably mislead others with respect to the SPV’s separate identity. In addition to the foregoing, each Originator shall take the following actions:</w:t>
      </w:r>
    </w:p>
    <w:p>
      <w:pPr>
        <w:spacing w:after="0" w:line="15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company records and books of account separate from those of the SPV;</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7"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continuously maintain as official records the resolutions, agreements and other instruments underlying the transactions described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3" w:lineRule="exact"/>
        <w:rPr>
          <w:sz w:val="20"/>
          <w:szCs w:val="20"/>
          <w:color w:val="auto"/>
        </w:rPr>
      </w:pPr>
    </w:p>
    <w:p>
      <w:pPr>
        <w:ind w:left="660" w:firstLine="644"/>
        <w:spacing w:after="0" w:line="236" w:lineRule="auto"/>
        <w:tabs>
          <w:tab w:leader="none" w:pos="194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an arm’s-length relationship with the SPV and shall not hold itself out as being liable for any Indebtedness of the SPV;</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its assets and its liabilities wholly separate from those of the SPV;</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8"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mislead third parties by conducting or appearing to conduct business on behalf of the SPV or expressly or impliedly representing or suggesting that such Originator is liable or responsible for any Indebtedness of the SPV or that the assets of such Originator are available to pay the creditors of the SPV;</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have stationery and other business forms and a mailing address and telephone number separate from those of the SPV;</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4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limit its transactions with the SPV only to those expressly permitted hereunder or under any other Transaction Document;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5"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comply in all material respects with (and cause to be true and correct in all material respects) each of the facts and assumptions relating to it contained in the opinion(s) of Vorys, Sater, Seymour and Pease LLP, delivered pursuant to </w:t>
      </w:r>
      <w:r>
        <w:rPr>
          <w:rFonts w:ascii="Times New Roman" w:cs="Times New Roman" w:eastAsia="Times New Roman" w:hAnsi="Times New Roman"/>
          <w:sz w:val="22"/>
          <w:szCs w:val="22"/>
          <w:u w:val="single" w:color="auto"/>
          <w:color w:val="auto"/>
        </w:rPr>
        <w:t>Section 5.1(m)</w:t>
      </w:r>
      <w:r>
        <w:rPr>
          <w:rFonts w:ascii="Times New Roman" w:cs="Times New Roman" w:eastAsia="Times New Roman" w:hAnsi="Times New Roman"/>
          <w:sz w:val="22"/>
          <w:szCs w:val="22"/>
          <w:color w:val="auto"/>
        </w:rPr>
        <w:t xml:space="preserve"> of the Existing Agreement (as defined in the Second Tier Agreement) and the Second Tier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Senior Credit Agreements</w:t>
      </w:r>
      <w:r>
        <w:rPr>
          <w:rFonts w:ascii="Times New Roman" w:cs="Times New Roman" w:eastAsia="Times New Roman" w:hAnsi="Times New Roman"/>
          <w:sz w:val="21"/>
          <w:szCs w:val="21"/>
          <w:color w:val="auto"/>
        </w:rPr>
        <w:t>. The transactions contemplated by this Agreement and the other Transaction Documents constitute a “Permitted Accounts Receivable Securitization” under and as defined in each Senior Credit Agreement, and the execution, delivery and performance by each Originator of this Agreement and the other Transaction Documents to which such Person is a party do not contravene or constitute a default or breach under the Senior Credit Agreement.</w:t>
      </w:r>
    </w:p>
    <w:p>
      <w:pPr>
        <w:spacing w:after="0" w:line="15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9" w:lineRule="auto"/>
        <w:tabs>
          <w:tab w:leader="none" w:pos="1945"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Originator represents and warrants that such Originator, and such Originator’s directors and officers, and to the knowledge of any Originator any employee, agent, or affiliate acting on behalf of any Originator: (a) is not a Sanctioned Person; (b) does not do business in or with, or derive any of its income, directly or indirectly, from any Sanctioned Person or any Sanctioned Jurisdiction; and (c) is not in violation of, and is not, directly or indirectly, taking any action that could cause such Originator to be in violation of, applicable (i) International Trade Laws, (ii) Sanctions,</w:t>
      </w:r>
    </w:p>
    <w:p>
      <w:pPr>
        <w:spacing w:after="0" w:line="2"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Anti-Money Laundering Laws in any material respect, or (iv) Anti-Corruption Laws.</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4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Originator represents and warrants that such Originator, and such Originator’s directors and officers, and to the knowledge of any Originator, any employee, agent or affiliate acting on behalf of such Originator: (x) is not in receipt of any notice or communication from any Compliance Authority that alleges, or otherwise pertains to a violation of any (i) International Trade Laws, (ii) Sanctions, (iii) Anti-Money Laundering Laws in any material respects, or (iv) Anti-Corruption Laws; and (y) is not the target or subject of any investigation, nor has it received any request for information, involving any allegation relating to a violation by an Official Body of any (i) International Trade Laws, (ii) Sanctions, (iii) Anti-Money Laundering Laws, in any material respects, or (iv) Anti-Corruption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3" w:lineRule="exact"/>
        <w:rPr>
          <w:sz w:val="20"/>
          <w:szCs w:val="20"/>
          <w:color w:val="auto"/>
        </w:rPr>
      </w:pPr>
    </w:p>
    <w:p>
      <w:pPr>
        <w:jc w:val="both"/>
        <w:ind w:left="660" w:firstLine="644"/>
        <w:spacing w:after="0" w:line="225" w:lineRule="auto"/>
        <w:tabs>
          <w:tab w:leader="none" w:pos="194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Originator represents, warrants and covenants that such Originator has instituted, maintains or is subject to policies and procedures reasonably designed to promote and achieve compliance with applicable International Trade Laws, Sanctions, Anti- Money Laundering Laws and Anti-Corruption Laws.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Originator represents and warrants that, solely with respect to the Affected Assets pledged by such Originator, there is no Covered Property pledged as Affected Assets.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Notice of Breach</w:t>
      </w:r>
      <w:r>
        <w:rPr>
          <w:rFonts w:ascii="Times New Roman" w:cs="Times New Roman" w:eastAsia="Times New Roman" w:hAnsi="Times New Roman"/>
          <w:sz w:val="22"/>
          <w:szCs w:val="22"/>
          <w:color w:val="auto"/>
        </w:rPr>
        <w:t xml:space="preserve">. Upon discovery by an Originator of a breach of any of the representations and warranties made by it in </w:t>
      </w:r>
      <w:r>
        <w:rPr>
          <w:rFonts w:ascii="Times New Roman" w:cs="Times New Roman" w:eastAsia="Times New Roman" w:hAnsi="Times New Roman"/>
          <w:sz w:val="22"/>
          <w:szCs w:val="22"/>
          <w:u w:val="single" w:color="auto"/>
          <w:color w:val="auto"/>
        </w:rPr>
        <w:t>Sections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the Originator shall give prompt written notice to the SPV within three (3) Business Days of such discovery.</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VI</w:t>
      </w:r>
    </w:p>
    <w:p>
      <w:pPr>
        <w:ind w:left="4940"/>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SECTION 6.1 </w:t>
      </w:r>
      <w:r>
        <w:rPr>
          <w:rFonts w:ascii="Times New Roman" w:cs="Times New Roman" w:eastAsia="Times New Roman" w:hAnsi="Times New Roman"/>
          <w:sz w:val="21"/>
          <w:szCs w:val="21"/>
          <w:u w:val="single" w:color="auto"/>
          <w:color w:val="auto"/>
        </w:rPr>
        <w:t>Mutual Covenants</w:t>
      </w:r>
      <w:r>
        <w:rPr>
          <w:rFonts w:ascii="Times New Roman" w:cs="Times New Roman" w:eastAsia="Times New Roman" w:hAnsi="Times New Roman"/>
          <w:sz w:val="21"/>
          <w:szCs w:val="21"/>
          <w:color w:val="auto"/>
        </w:rPr>
        <w:t>. At all times from the date hereof to the Final Payout Date, each Originator and the SPV</w:t>
      </w:r>
    </w:p>
    <w:p>
      <w:pPr>
        <w:spacing w:after="0"/>
        <w:rPr>
          <w:sz w:val="20"/>
          <w:szCs w:val="20"/>
          <w:color w:val="auto"/>
        </w:rPr>
      </w:pPr>
      <w:r>
        <w:rPr>
          <w:rFonts w:ascii="Times New Roman" w:cs="Times New Roman" w:eastAsia="Times New Roman" w:hAnsi="Times New Roman"/>
          <w:sz w:val="22"/>
          <w:szCs w:val="22"/>
          <w:color w:val="auto"/>
        </w:rPr>
        <w:t>shall:</w:t>
      </w:r>
    </w:p>
    <w:p>
      <w:pPr>
        <w:spacing w:after="0" w:line="155" w:lineRule="exact"/>
        <w:rPr>
          <w:sz w:val="20"/>
          <w:szCs w:val="20"/>
          <w:color w:val="auto"/>
        </w:rPr>
      </w:pPr>
    </w:p>
    <w:p>
      <w:pPr>
        <w:jc w:val="both"/>
        <w:ind w:firstLine="656"/>
        <w:spacing w:after="0" w:line="225" w:lineRule="auto"/>
        <w:tabs>
          <w:tab w:leader="none" w:pos="129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 Etc</w:t>
      </w:r>
      <w:r>
        <w:rPr>
          <w:rFonts w:ascii="Times New Roman" w:cs="Times New Roman" w:eastAsia="Times New Roman" w:hAnsi="Times New Roman"/>
          <w:sz w:val="22"/>
          <w:szCs w:val="22"/>
          <w:color w:val="auto"/>
        </w:rPr>
        <w:t>. Comply in all material respects with all Laws to which it or its respective properties may be subject, and preserve and maintain its corporate or limited liability company existence, rights, franchises, qualifications and privileges, except to the extent any non-compliance would not reasonably be expected to have a Material Adverse Effect.</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Requirements</w:t>
      </w:r>
      <w:r>
        <w:rPr>
          <w:rFonts w:ascii="Times New Roman" w:cs="Times New Roman" w:eastAsia="Times New Roman" w:hAnsi="Times New Roman"/>
          <w:sz w:val="22"/>
          <w:szCs w:val="22"/>
          <w:color w:val="auto"/>
        </w:rPr>
        <w:t>. Provide periodic financial statements, information and reports as reasonably requested by the other party. All such statements, information and reports shall be true and accurate in all material respects.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Business; Nonconsolidation</w:t>
      </w:r>
      <w:r>
        <w:rPr>
          <w:rFonts w:ascii="Times New Roman" w:cs="Times New Roman" w:eastAsia="Times New Roman" w:hAnsi="Times New Roman"/>
          <w:sz w:val="22"/>
          <w:szCs w:val="22"/>
          <w:color w:val="auto"/>
        </w:rPr>
        <w:t xml:space="preserve">. Not take any action that is inconsistent with the terms of Sections 6.1(k)(i) or 6.1(l) of the Second Tier Agreement or </w:t>
      </w:r>
      <w:r>
        <w:rPr>
          <w:rFonts w:ascii="Times New Roman" w:cs="Times New Roman" w:eastAsia="Times New Roman" w:hAnsi="Times New Roman"/>
          <w:sz w:val="22"/>
          <w:szCs w:val="22"/>
          <w:u w:val="single" w:color="auto"/>
          <w:color w:val="auto"/>
        </w:rPr>
        <w:t>Section 5.2(p)</w:t>
      </w:r>
      <w:r>
        <w:rPr>
          <w:rFonts w:ascii="Times New Roman" w:cs="Times New Roman" w:eastAsia="Times New Roman" w:hAnsi="Times New Roman"/>
          <w:sz w:val="22"/>
          <w:szCs w:val="22"/>
          <w:color w:val="auto"/>
        </w:rPr>
        <w:t xml:space="preserve"> 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Solvency of SPV</w:t>
      </w:r>
      <w:r>
        <w:rPr>
          <w:rFonts w:ascii="Times New Roman" w:cs="Times New Roman" w:eastAsia="Times New Roman" w:hAnsi="Times New Roman"/>
          <w:sz w:val="21"/>
          <w:szCs w:val="21"/>
          <w:color w:val="auto"/>
        </w:rPr>
        <w:t>. In the case of the SPV, ensure that (i) the fair value of the assets of the SPV, at a fair valuation, will, at all times prior to the Final Payout Date, exceed its debts and liabilities, subordinated, contingent or otherwise; (ii) the present fair saleable value of the property of the SPV, at all times prior to the Final Payout Date, will be greater than the amount that will be required to pay the probable liability of its debts and other liabilities, subordinated, contingent or otherwise, as such debts and other liabilities become absolute and matured; (iii) the SPV will, at all times prior to the Final Payout Date, be able to pay its debts and liabilities, subordinated, contingent or otherwise, as such debts and liabilities become absolute and matured; and</w:t>
      </w:r>
    </w:p>
    <w:p>
      <w:pPr>
        <w:spacing w:after="0" w:line="3" w:lineRule="exact"/>
        <w:rPr>
          <w:rFonts w:ascii="Times New Roman" w:cs="Times New Roman" w:eastAsia="Times New Roman" w:hAnsi="Times New Roman"/>
          <w:sz w:val="21"/>
          <w:szCs w:val="21"/>
          <w:color w:val="auto"/>
        </w:rPr>
      </w:pPr>
    </w:p>
    <w:p>
      <w:pPr>
        <w:ind w:right="20" w:firstLine="8"/>
        <w:spacing w:after="0" w:line="225" w:lineRule="auto"/>
        <w:tabs>
          <w:tab w:leader="none" w:pos="3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will not, at any time prior to the Final Payout Date, have unreasonably small capital with which to conduct the business in which it is engaged as such business is now conducted and is proposed to be conducted.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Affirmative Covenants of the Originators</w:t>
      </w:r>
      <w:r>
        <w:rPr>
          <w:rFonts w:ascii="Times New Roman" w:cs="Times New Roman" w:eastAsia="Times New Roman" w:hAnsi="Times New Roman"/>
          <w:sz w:val="22"/>
          <w:szCs w:val="22"/>
          <w:color w:val="auto"/>
        </w:rPr>
        <w:t>. At all times from the date hereof to the Final Payout Date:</w:t>
      </w:r>
    </w:p>
    <w:p>
      <w:pPr>
        <w:spacing w:after="0" w:line="179" w:lineRule="exact"/>
        <w:rPr>
          <w:sz w:val="20"/>
          <w:szCs w:val="20"/>
          <w:color w:val="auto"/>
        </w:rPr>
      </w:pPr>
    </w:p>
    <w:p>
      <w:pPr>
        <w:jc w:val="both"/>
        <w:ind w:firstLine="656"/>
        <w:spacing w:after="0" w:line="217" w:lineRule="auto"/>
        <w:tabs>
          <w:tab w:leader="none" w:pos="12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 Ownership</w:t>
      </w:r>
      <w:r>
        <w:rPr>
          <w:rFonts w:ascii="Times New Roman" w:cs="Times New Roman" w:eastAsia="Times New Roman" w:hAnsi="Times New Roman"/>
          <w:sz w:val="22"/>
          <w:szCs w:val="22"/>
          <w:color w:val="auto"/>
        </w:rPr>
        <w:t>. Each Originator shall continue to engage in business of the same general type as now conducted by them (including businesses reasonably related or incidental thereto) and do all things necessary to remain duly organized, validly existing and in good standing in its jurisdiction of formation and maintain all requisite authority to conduct its business in each jurisdiction in which its business is conducted, except where the failure to do so would not reasonably be expected to have a Material Adverse Effect. The SPV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shall at all times be a wholly-owned Subsidiary of one of the Originators, each of which at all times must be a direct or indirect Subsidiary of Greif, Inc.</w:t>
      </w:r>
    </w:p>
    <w:p>
      <w:pPr>
        <w:spacing w:after="0" w:line="150" w:lineRule="exact"/>
        <w:rPr>
          <w:sz w:val="20"/>
          <w:szCs w:val="20"/>
          <w:color w:val="auto"/>
        </w:rPr>
      </w:pPr>
    </w:p>
    <w:p>
      <w:pPr>
        <w:jc w:val="both"/>
        <w:ind w:firstLine="656"/>
        <w:spacing w:after="0" w:line="209" w:lineRule="auto"/>
        <w:tabs>
          <w:tab w:leader="none" w:pos="12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Furnishing of Information and Inspection of Records</w:t>
      </w:r>
      <w:r>
        <w:rPr>
          <w:rFonts w:ascii="Times New Roman" w:cs="Times New Roman" w:eastAsia="Times New Roman" w:hAnsi="Times New Roman"/>
          <w:sz w:val="22"/>
          <w:szCs w:val="22"/>
          <w:color w:val="auto"/>
        </w:rPr>
        <w:t xml:space="preserve">. Each Originator shall furnish to the SPV or any Managing Agent from time to time such information with respect to the Related Assets as the SPV or such Managing Agent may reasonably request, including listings identifying the Obligor and the Unpaid Balance for each Receivable. Each Originator shall, at any time and from time to time during regular business hours upon reasonable notice (which shall be at least two (2) Business Days), as requested by the SPV or any Managing Agent, permit the SPV or such Managing Agent, or their respective agents or representatives, (i) to examine and make copies of and take abstracts from all books, records and documents (including computer tapes and disks) relating to the Conveyed Receivables or other Related Assets, including the related Contracts and (ii) to visit the offices and properties of such Originator for the purpose of examining such materials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and to discuss matters relating to the Conveyed Receivables, the Related Assets or such Originator’s performance hereunder, under the Contracts and under the other Transaction Documents to which such Person is a party with any of the officers, directors, employees or independent public accountants of such Originator having knowledge of such matters (but only in the presence of a Responsible Officer of the SPV);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unless a Termination Event or Potential Termination Event shall have occurred and be continuing, the Originator shall not be required to reimburse the reasonable expenses of more than one (1) such visit per calendar year.</w:t>
      </w:r>
    </w:p>
    <w:p>
      <w:pPr>
        <w:spacing w:after="0" w:line="155"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Each Originator shall maintain and implement administrative and operating procedures (including an ability to recreate records evidencing Conveyed Receivables and related Contracts in the event of the destruction of the originals thereof), and keep and maintain all documents, books, computer tapes, disks, records and other information reasonably necessary or advisable for the collection of all Conveyed Receivables (including records adequate to permit the daily identification of each new Conveyed Receivable and all Collections of and adjustments to each existing Conveyed Receivable). Each Originator shall give the SPV and the Agent prompt notice of any material change in its administrative and operating procedures referred to in the previous sentence (and the Agent will promptly forward such notice to each Managing Agent).</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Conveyed Receivables, Contracts and Credit and Collection Policy</w:t>
      </w:r>
      <w:r>
        <w:rPr>
          <w:rFonts w:ascii="Times New Roman" w:cs="Times New Roman" w:eastAsia="Times New Roman" w:hAnsi="Times New Roman"/>
          <w:sz w:val="22"/>
          <w:szCs w:val="22"/>
          <w:color w:val="auto"/>
        </w:rPr>
        <w:t>. Each Originator shall (i) at its own expense, timely and fully perform and comply with all material provisions, covenants and other promises required to be observed by it under the Contracts related to the Conveyed Receivables in accordance with the Credit and Collection Policy; and (ii) timely and fully comply in all material respects with the Credit and Collection Policy in regard to each Conveyed Receivable and the related Contract.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Agent’s Interest</w:t>
      </w:r>
      <w:r>
        <w:rPr>
          <w:rFonts w:ascii="Times New Roman" w:cs="Times New Roman" w:eastAsia="Times New Roman" w:hAnsi="Times New Roman"/>
          <w:sz w:val="22"/>
          <w:szCs w:val="22"/>
          <w:color w:val="auto"/>
        </w:rPr>
        <w:t>. In the event that any Originator shall sell or otherwise transfer any interest in accounts receivable or any other financial assets (other than as contemplated by the Transaction Documents), any computer tapes or files or other documents or instruments provided by such Originator in connection with any such sale or transfer shall disclose the SPV’s ownership of the Conveyed Receivables and the Agent’s interest therein.</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The Originators have instructed, or shall instruct, all Obligors to cause all Collections to be deposited directly to a Blocked Account or to post office boxes to which only Blocked Account Banks have access and shall instruct the Blocked Account Banks to cause all items and amounts relating to such Collections received in such post office boxes to be removed and deposited into a Blocked Account on a daily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3" w:lineRule="exact"/>
        <w:rPr>
          <w:sz w:val="20"/>
          <w:szCs w:val="20"/>
          <w:color w:val="auto"/>
        </w:rPr>
      </w:pPr>
    </w:p>
    <w:p>
      <w:pPr>
        <w:ind w:right="20" w:firstLine="656"/>
        <w:spacing w:after="0" w:line="236"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Collections Received</w:t>
      </w:r>
      <w:r>
        <w:rPr>
          <w:rFonts w:ascii="Times New Roman" w:cs="Times New Roman" w:eastAsia="Times New Roman" w:hAnsi="Times New Roman"/>
          <w:sz w:val="22"/>
          <w:szCs w:val="22"/>
          <w:color w:val="auto"/>
        </w:rPr>
        <w:t>. Each Originator shall hold in trust, and deposit, promptly, but in any event not later than two (2) Business Days following its receipt thereof, to a Blocked Account all Collections received by it from time to time.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Blocked Accounts</w:t>
      </w:r>
      <w:r>
        <w:rPr>
          <w:rFonts w:ascii="Times New Roman" w:cs="Times New Roman" w:eastAsia="Times New Roman" w:hAnsi="Times New Roman"/>
          <w:sz w:val="22"/>
          <w:szCs w:val="22"/>
          <w:color w:val="auto"/>
        </w:rPr>
        <w:t>. Each Blocked Account shall at all times be subject to a Blocked Account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Treatment</w:t>
      </w:r>
      <w:r>
        <w:rPr>
          <w:rFonts w:ascii="Times New Roman" w:cs="Times New Roman" w:eastAsia="Times New Roman" w:hAnsi="Times New Roman"/>
          <w:sz w:val="22"/>
          <w:szCs w:val="22"/>
          <w:color w:val="auto"/>
        </w:rPr>
        <w:t>. No Originator shall treat the transactions contemplated by this Agreement in any manner other than as a sale or contribution (as applicable) of Conveyed Receivables by such Originator to the SPV, except to the extent that such transactions are not recognized on account of consolidated financial reporting in accordance with GAAP or are disregarded for tax purposes. In addition, each Originator shall disclose (in a footnote or otherwise) in all of its financial statements (including any such financial statements consolidated with any other Person’s financial statements) the existence and nature of the transaction contemplated hereby and the interest of the SPV in the Conveyed Receivables and Related Assets.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Interest, Etc.</w:t>
      </w:r>
      <w:r>
        <w:rPr>
          <w:rFonts w:ascii="Times New Roman" w:cs="Times New Roman" w:eastAsia="Times New Roman" w:hAnsi="Times New Roman"/>
          <w:sz w:val="22"/>
          <w:szCs w:val="22"/>
          <w:color w:val="auto"/>
        </w:rPr>
        <w:t xml:space="preserve"> Each Originator shall, at its expense, take all action necessary or desirable to establish and maintain a valid and enforceable ownership or first priority perfected security interest in the Conveyed Receivables, the associated Related Assets and proceeds with respect thereto, in each case free and clear of any Adverse Claim, in favor of the SPV, including taking such action to perfect, protect or more fully evidence the interest of the SPV and the Agent, as the Agent may request.</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Covenants</w:t>
      </w:r>
      <w:r>
        <w:rPr>
          <w:rFonts w:ascii="Times New Roman" w:cs="Times New Roman" w:eastAsia="Times New Roman" w:hAnsi="Times New Roman"/>
          <w:sz w:val="22"/>
          <w:szCs w:val="22"/>
          <w:color w:val="auto"/>
        </w:rPr>
        <w:t xml:space="preserve">. Each of the Originators shall comply with each of the covenants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this Agreement which are incorporated herein by reference.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for Servicer Report</w:t>
      </w:r>
      <w:r>
        <w:rPr>
          <w:rFonts w:ascii="Times New Roman" w:cs="Times New Roman" w:eastAsia="Times New Roman" w:hAnsi="Times New Roman"/>
          <w:sz w:val="22"/>
          <w:szCs w:val="22"/>
          <w:color w:val="auto"/>
        </w:rPr>
        <w:t>. Each Originator shall promptly deliver any information, documents, records or reports with respect to the Conveyed Receivables that the SPV shall require to complete the Servicer Report pursuant to Section 2.8 of the Second Tier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Negative Covenants of the Originators</w:t>
      </w:r>
      <w:r>
        <w:rPr>
          <w:rFonts w:ascii="Times New Roman" w:cs="Times New Roman" w:eastAsia="Times New Roman" w:hAnsi="Times New Roman"/>
          <w:sz w:val="22"/>
          <w:szCs w:val="22"/>
          <w:color w:val="auto"/>
        </w:rPr>
        <w:t>. At all times from the date hereof to the Final Payout Date, unless the Majority Investors shall otherwise consent in writing:</w:t>
      </w:r>
    </w:p>
    <w:p>
      <w:pPr>
        <w:spacing w:after="0" w:line="150" w:lineRule="exact"/>
        <w:rPr>
          <w:sz w:val="20"/>
          <w:szCs w:val="20"/>
          <w:color w:val="auto"/>
        </w:rPr>
      </w:pPr>
    </w:p>
    <w:p>
      <w:pPr>
        <w:jc w:val="both"/>
        <w:ind w:firstLine="656"/>
        <w:spacing w:after="0" w:line="213" w:lineRule="auto"/>
        <w:tabs>
          <w:tab w:leader="none" w:pos="12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Sales, Liens, Etc</w:t>
      </w:r>
      <w:r>
        <w:rPr>
          <w:rFonts w:ascii="Times New Roman" w:cs="Times New Roman" w:eastAsia="Times New Roman" w:hAnsi="Times New Roman"/>
          <w:sz w:val="22"/>
          <w:szCs w:val="22"/>
          <w:color w:val="auto"/>
        </w:rPr>
        <w:t>. (i) After giving effect to the financing statement amendments being filed as of the date hereof in respect of certain all asset filings made by JPMorgan Chase Bank, National Association, or CoBank, ACB, as agent under a Senior Credit Agreement against certain Originators and (ii) except as otherwise provided herein and in the Second Tier Agreement, no Originator shall sell, assign (by operation of law or otherwise) or otherwise dispose of, or create or suffer to exist any Adverse Claim upon (or the filing of any financing statement) or with respect to (A) any of the Conveyed Receivables or Related Assets, or (B) any proceeds of inventory or goods, the sale of which may give rise to a Receivable, or assign any right to receive income in respect thereof.</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Extension or Amendment of Receivables</w:t>
      </w:r>
      <w:r>
        <w:rPr>
          <w:rFonts w:ascii="Times New Roman" w:cs="Times New Roman" w:eastAsia="Times New Roman" w:hAnsi="Times New Roman"/>
          <w:sz w:val="22"/>
          <w:szCs w:val="22"/>
          <w:color w:val="auto"/>
        </w:rPr>
        <w:t>. Except as otherwise permitted in Section 7.2 of the Second Tier Agreement, no Originator shall extend, amend or otherwise modify the terms of any Conveyed Receivable, or amend, modify or waive any term or condition of any Contract related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3" w:lineRule="exact"/>
        <w:rPr>
          <w:sz w:val="20"/>
          <w:szCs w:val="20"/>
          <w:color w:val="auto"/>
        </w:rPr>
      </w:pPr>
    </w:p>
    <w:p>
      <w:pPr>
        <w:jc w:val="both"/>
        <w:ind w:firstLine="656"/>
        <w:spacing w:after="0" w:line="225" w:lineRule="auto"/>
        <w:tabs>
          <w:tab w:leader="none" w:pos="12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Change in Business or Credit and Collection Policy</w:t>
      </w:r>
      <w:r>
        <w:rPr>
          <w:rFonts w:ascii="Times New Roman" w:cs="Times New Roman" w:eastAsia="Times New Roman" w:hAnsi="Times New Roman"/>
          <w:sz w:val="22"/>
          <w:szCs w:val="22"/>
          <w:color w:val="auto"/>
        </w:rPr>
        <w:t>. No Originator shall make any change in the character of its business or in the Credit and Collection Policy, which change would, in either case, materially impair the collectability of any Eligible Receivable or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Divisions, Mergers, Etc</w:t>
      </w:r>
      <w:r>
        <w:rPr>
          <w:rFonts w:ascii="Times New Roman" w:cs="Times New Roman" w:eastAsia="Times New Roman" w:hAnsi="Times New Roman"/>
          <w:sz w:val="22"/>
          <w:szCs w:val="22"/>
          <w:color w:val="auto"/>
        </w:rPr>
        <w:t>. No Originator shall consolidate or merge with or into, or divide or create a plan of division, or sell, lease or transfer all or substantially all of its assets to, any other Person, unless (i) no Termination Event would be expected to occur as a result of such transaction and (ii) such Person executes and delivers to the Agent and each Managing Agent an agreement by which such Person assumes the obligations of the applicable Originator hereunder and under the other Transaction Documents to which it is a party, or confirms that such obligations remain enforceable against it, together with such certificates and opinions of counsel as the Agent or any Managing Agent may reasonably request.</w:t>
      </w:r>
    </w:p>
    <w:p>
      <w:pPr>
        <w:spacing w:after="0" w:line="152"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Payment Instructions to Obligors</w:t>
      </w:r>
      <w:r>
        <w:rPr>
          <w:rFonts w:ascii="Times New Roman" w:cs="Times New Roman" w:eastAsia="Times New Roman" w:hAnsi="Times New Roman"/>
          <w:sz w:val="21"/>
          <w:szCs w:val="21"/>
          <w:color w:val="auto"/>
        </w:rPr>
        <w:t>. No Originator shall add or terminate any bank as a Blocked Account Bank or any account as a Blocked Account to or from those listed in Schedule 4.1(s) of the Disclosure Letter or make any change in its instructions to Obligors regarding payments to be made to any Blocked Account, unless (i) such instructions are to deposit such payments to another existing Blocked Account or to the Collection Account or (ii) the SPV and the Agent shall have received written notice of such addition, termination or change at least thirty (30) days prior thereto and the SPV and the Agent shall have received a Blocked Account Agreement executed by each new Blocked Account Bank or an existing Blocked Account Bank with respect to each new Blocked Account reasonably acceptable to the SPV and the Agent, as applicable.</w:t>
      </w:r>
    </w:p>
    <w:p>
      <w:pPr>
        <w:spacing w:after="0" w:line="150" w:lineRule="exact"/>
        <w:rPr>
          <w:rFonts w:ascii="Times New Roman" w:cs="Times New Roman" w:eastAsia="Times New Roman" w:hAnsi="Times New Roman"/>
          <w:sz w:val="21"/>
          <w:szCs w:val="21"/>
          <w:color w:val="auto"/>
        </w:rPr>
      </w:pPr>
    </w:p>
    <w:p>
      <w:pPr>
        <w:jc w:val="both"/>
        <w:ind w:firstLine="656"/>
        <w:spacing w:after="0" w:line="215"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to Blocked Accounts</w:t>
      </w:r>
      <w:r>
        <w:rPr>
          <w:rFonts w:ascii="Times New Roman" w:cs="Times New Roman" w:eastAsia="Times New Roman" w:hAnsi="Times New Roman"/>
          <w:sz w:val="22"/>
          <w:szCs w:val="22"/>
          <w:color w:val="auto"/>
        </w:rPr>
        <w:t>. No Originator shall deposit or otherwise credit, or cause or permit to be so deposited or credited, any Excluded Amounts to the Collection Account. If Excluded Amounts (including any inadvertent deposits) are deposited into any Blocked Account, the applicable Originator(s) will promptly identify such Excluded Amounts for segregation and removal from such Blocked Account. Other than as permitted in the foregoing sentence, no Originator will, or will permit any other Person to, commingle Collections or other funds to which the SPV or any other Secured Party is entitled with any other Excluded Amounts.</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Name, Etc.</w:t>
      </w:r>
      <w:r>
        <w:rPr>
          <w:rFonts w:ascii="Times New Roman" w:cs="Times New Roman" w:eastAsia="Times New Roman" w:hAnsi="Times New Roman"/>
          <w:sz w:val="22"/>
          <w:szCs w:val="22"/>
          <w:color w:val="auto"/>
        </w:rPr>
        <w:t xml:space="preserve"> No Originator shall change its name, identity or structure (including pursuant to a merger or division) or the location of its jurisdiction or formation or any other change which could render any UCC financing statement filed in connection with this Agreement or any other Transaction Document to become “seriously misleading” under the UCC, unless at least thirty (30) days prior to the effective date of any such change the Originator delivers to the SPV, the Agent and each Managing Agent (i) such documents, instruments or agreements, executed by the applicable Originator(s) as are necessary to reflect such change and to continue the perfection of the SPV’s and the Agent’s ownership interests or security interests in the Conveyed Receivables and Related Assets and (ii) if necessary, new or revised Blocked Account Agreements executed by the Blocked Account Banks which reflect such change and enable the Agent to continue to exercise its rights contained in Section 7.3 of the Second Tier Agreement.</w:t>
      </w:r>
    </w:p>
    <w:p>
      <w:pPr>
        <w:spacing w:after="0" w:line="158"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this Agreement</w:t>
      </w:r>
      <w:r>
        <w:rPr>
          <w:rFonts w:ascii="Times New Roman" w:cs="Times New Roman" w:eastAsia="Times New Roman" w:hAnsi="Times New Roman"/>
          <w:sz w:val="22"/>
          <w:szCs w:val="22"/>
          <w:color w:val="auto"/>
        </w:rPr>
        <w:t>. None of the Originators shall amend, modify or supplement this Agreement or waive any provision hereof, in each case except with the prior written consent of the Agent and the Majority Investors; nor shall any Originator take any other action under this Agreement that would reasonably be expected to result in a material adverse effect on the Agent, any Managing Agent or any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0" w:lineRule="exact"/>
        <w:rPr>
          <w:sz w:val="20"/>
          <w:szCs w:val="20"/>
          <w:color w:val="auto"/>
        </w:rPr>
      </w:pPr>
    </w:p>
    <w:p>
      <w:pPr>
        <w:ind w:left="1300" w:hanging="644"/>
        <w:spacing w:after="0"/>
        <w:tabs>
          <w:tab w:leader="none" w:pos="13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Anti-Corruption Laws and Anti-Money Laundering Laws</w:t>
      </w:r>
      <w:r>
        <w:rPr>
          <w:rFonts w:ascii="Times New Roman" w:cs="Times New Roman" w:eastAsia="Times New Roman" w:hAnsi="Times New Roman"/>
          <w:sz w:val="22"/>
          <w:szCs w:val="22"/>
          <w:color w:val="auto"/>
        </w:rPr>
        <w:t>. Each Originator hereby agrees that it shall:</w:t>
      </w:r>
    </w:p>
    <w:p>
      <w:pPr>
        <w:jc w:val="both"/>
        <w:ind w:firstLine="8"/>
        <w:spacing w:after="0" w:line="209" w:lineRule="auto"/>
        <w:tabs>
          <w:tab w:leader="none" w:pos="3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Affected Assets becomes Covered Property, promptly notify the SPV and Agent and provide to the SPV additional Affected Assets that is not Covered Property of at least equal value to the Affected Assets that became Covered Property, except to the extent prohibited by applicable Law; and (b) comply with applicable (i) International Trade Laws, (ii) Sanctions, (iii) Anti-Money Laundering Laws, in all material respects, and (iv) Anti-Corruption Laws and maintains or is subject to policies and procedures reasonably designed to promote and achieve compliance with all applicable International Trade Laws, Sanctions, Anti-Money Laundering Laws and Anti- Corruption Laws by each Originator, each Originator’s directors and officers, and any employee, agent or affiliate acting on behalf of each Originator in connection with this Agreement. No Originator will, directly or indirectly, fund or facilitate any Affiliate of such Person in any manner that would cause a violation of Sanctions by any party to this Agreement or the Second Tier Agreement.</w:t>
      </w:r>
    </w:p>
    <w:p>
      <w:pPr>
        <w:spacing w:after="0" w:line="14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w:t>
      </w:r>
    </w:p>
    <w:p>
      <w:pPr>
        <w:ind w:left="422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5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as of the Closing Date and shall continue in full force and effect until the earliest of (a) the date after the Final Payout Date designated by the SPV or the Originators as the termination date at any time following sixty (60) day’s written notice to the other (with a copy thereof to the Agent), (b) the occurrence of the Termination Date and (c) the earliest date on which the (i) Minimum Capital Test is not satisfied and (ii) the outstanding Deferred Purchase Price is greater than $0 (any such date being a “</w:t>
      </w:r>
      <w:r>
        <w:rPr>
          <w:rFonts w:ascii="Times New Roman" w:cs="Times New Roman" w:eastAsia="Times New Roman" w:hAnsi="Times New Roman"/>
          <w:sz w:val="22"/>
          <w:szCs w:val="22"/>
          <w:u w:val="single" w:color="auto"/>
          <w:color w:val="auto"/>
        </w:rPr>
        <w:t>Purchase Termination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occurrence of the Purchase Termination Date pursuant to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not discharge any Person from any obligations incurred prior to the Purchase Termination Date, including any obligations to make any payments with respect to the interest of the SPV in any Receivable sold prior to the Purchase Termination Date;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 the rights and remedies of the SPV with respect to any representation and warranty made or deemed to be made by any Originator pursuant to this Agreement, (ii) the indemnification and payment provisions of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(iii) the agreements set forth in </w:t>
      </w:r>
      <w:r>
        <w:rPr>
          <w:rFonts w:ascii="Times New Roman" w:cs="Times New Roman" w:eastAsia="Times New Roman" w:hAnsi="Times New Roman"/>
          <w:sz w:val="22"/>
          <w:szCs w:val="22"/>
          <w:u w:val="single" w:color="auto"/>
          <w:color w:val="auto"/>
        </w:rPr>
        <w:t>Sections 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9.9</w:t>
      </w:r>
      <w:r>
        <w:rPr>
          <w:rFonts w:ascii="Times New Roman" w:cs="Times New Roman" w:eastAsia="Times New Roman" w:hAnsi="Times New Roman"/>
          <w:sz w:val="22"/>
          <w:szCs w:val="22"/>
          <w:color w:val="auto"/>
        </w:rPr>
        <w:t xml:space="preserve"> shall survive any termination of this Agreement.</w:t>
      </w:r>
    </w:p>
    <w:p>
      <w:pPr>
        <w:spacing w:after="0" w:line="15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7.2 </w:t>
      </w:r>
      <w:r>
        <w:rPr>
          <w:rFonts w:ascii="Times New Roman" w:cs="Times New Roman" w:eastAsia="Times New Roman" w:hAnsi="Times New Roman"/>
          <w:sz w:val="21"/>
          <w:szCs w:val="21"/>
          <w:u w:val="single" w:color="auto"/>
          <w:color w:val="auto"/>
        </w:rPr>
        <w:t>Effect of Purchase Termination Date</w:t>
      </w:r>
      <w:r>
        <w:rPr>
          <w:rFonts w:ascii="Times New Roman" w:cs="Times New Roman" w:eastAsia="Times New Roman" w:hAnsi="Times New Roman"/>
          <w:sz w:val="21"/>
          <w:szCs w:val="21"/>
          <w:color w:val="auto"/>
        </w:rPr>
        <w:t xml:space="preserve">. Following the occurrence of the Purchase Termination Date pursuant to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no Originator shall sell to, and the SPV shall not purchase from any Originator, any Receivables or Related Assets. No termination or rejection or failure to assume the executory obligations of this Agreement in any Event of Bankruptcy with respect to any Originator or the SPV shall be deemed to impair or affect the obligations pertaining to any executed sale or executed obligations, including pre-termination breaches of representations and warranties by any Originator or the SPV. Without limiting the foregoing, prior to the Purchase Termination Date, the failure of any Originator to deliver computer records of any Conveyed Receivables or any reports regarding any Conveyed Receivables shall not render such transfer or obligation executory, nor shall the continued duties of the parties pursuant to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render an executed sale executory.</w:t>
      </w:r>
    </w:p>
    <w:p>
      <w:pPr>
        <w:spacing w:after="0" w:line="1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VIII</w:t>
      </w:r>
    </w:p>
    <w:p>
      <w:pPr>
        <w:ind w:left="4600"/>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Indemnities by the Originator</w:t>
      </w:r>
      <w:r>
        <w:rPr>
          <w:rFonts w:ascii="Times New Roman" w:cs="Times New Roman" w:eastAsia="Times New Roman" w:hAnsi="Times New Roman"/>
          <w:sz w:val="22"/>
          <w:szCs w:val="22"/>
          <w:color w:val="auto"/>
        </w:rPr>
        <w:t>. Without limiting any other rights which the Originator Indemnified Parties may have hereunder or under applicable Law, each Originator hereby agrees, jointly and severally, to indemnify the SPV and its successors, transferees and assigns and all officers, directors, shareholders, controlling persons, employees, counsel and other agents of any of the foregoing (collectively, “</w:t>
      </w:r>
      <w:r>
        <w:rPr>
          <w:rFonts w:ascii="Times New Roman" w:cs="Times New Roman" w:eastAsia="Times New Roman" w:hAnsi="Times New Roman"/>
          <w:sz w:val="22"/>
          <w:szCs w:val="22"/>
          <w:u w:val="single" w:color="auto"/>
          <w:color w:val="auto"/>
        </w:rPr>
        <w:t>Originator Indemnified Parties</w:t>
      </w:r>
      <w:r>
        <w:rPr>
          <w:rFonts w:ascii="Times New Roman" w:cs="Times New Roman" w:eastAsia="Times New Roman" w:hAnsi="Times New Roman"/>
          <w:sz w:val="22"/>
          <w:szCs w:val="22"/>
          <w:color w:val="auto"/>
        </w:rPr>
        <w:t>”) from and against any and all damages, losses, claims, liabilities, costs and expenses, including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attorneys’ fees (which attorneys may be employees of any Originator Indemnified Party) and disbursements (all of the foregoing being collectively referred to as “</w:t>
      </w:r>
      <w:r>
        <w:rPr>
          <w:rFonts w:ascii="Times New Roman" w:cs="Times New Roman" w:eastAsia="Times New Roman" w:hAnsi="Times New Roman"/>
          <w:sz w:val="22"/>
          <w:szCs w:val="22"/>
          <w:u w:val="single" w:color="auto"/>
          <w:color w:val="auto"/>
        </w:rPr>
        <w:t>Originator Indemnified Amounts</w:t>
      </w:r>
      <w:r>
        <w:rPr>
          <w:rFonts w:ascii="Times New Roman" w:cs="Times New Roman" w:eastAsia="Times New Roman" w:hAnsi="Times New Roman"/>
          <w:sz w:val="22"/>
          <w:szCs w:val="22"/>
          <w:color w:val="auto"/>
        </w:rPr>
        <w:t>”) awarded against or incurred by any of them in any action or proceeding between any Originator and any of the Originator Indemnified Parties or between any of the Originator Indemnified Parties and any third party, in each case arising out of or as a result of this Agreement, the other Transaction Documents, the ownership or maintenance, either directly or indirectly, by the SPV or any other Originator Indemnified Party of any interest in any Conveyed Receivable and Related Assets or any of the other transactions contemplated hereby or thereby, excluding, however, (i) Originator Indemnified Amounts to the extent resulting from gross negligence or willful misconduct on the part of such Originator Indemnified Party or (ii) recourse for uncollectible Receivables, or (iii) any Excluded Taxes. Without limiting the generality of the foregoing, each Originator shall indemnify each Originator Indemnified Party for Originator Indemnified Amounts relating to or resulting from:</w:t>
      </w:r>
    </w:p>
    <w:p>
      <w:pPr>
        <w:spacing w:after="0" w:line="152" w:lineRule="exact"/>
        <w:rPr>
          <w:sz w:val="20"/>
          <w:szCs w:val="20"/>
          <w:color w:val="auto"/>
        </w:rPr>
      </w:pPr>
    </w:p>
    <w:p>
      <w:pPr>
        <w:jc w:val="both"/>
        <w:ind w:firstLine="656"/>
        <w:spacing w:after="0" w:line="220"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any Originator or any officers of any Originator under or in connection with this Agreement, any of the other Transaction Documents, any Servicer Report or any other information or report delivered by any Originator pursuant hereto, or pursuant to any of the other Transaction Documents which shall have been incomplete, false or incorrect in any respect when made or deemed made;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any Originator to comply with any applicable Law with respect to any Receivable or the related Contract, or the nonconformity of any Conveyed Receivable or the related Contract with any such applicable Law;</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vest and maintain vested in the SPV a first priority, perfected ownership interest in the Conveyed Receivables and Related Assets, free and clear of any Adverse Claim;</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any Originator, following a request from the Agent, to file, or any delay in filing, financing statements, continuation statements, or other similar instruments or documents under the UCC of any applicable jurisdiction or other applicable laws with respect to any of the Conveyed Receivables and Related Assets;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claim, offset or defense (other than discharge in bankruptcy or as a result of the uncollectibility of any Receivable) of the Obligor to the payment of any Conveyed Receivable (including a defense based on such Receivable or the related Contract not being the legal, valid and binding obligation of such Obligor enforceable against it in accordance with its terms), or any other claim resulting from the sale of merchandise or services related to such Receivable or the furnishing or failure to furnish such merchandise or services, or from any breach or alleged breach of any provision of the Conveyed Receivables or the related Contracts restricting assignment of any Conveyed Receivables;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any Originator to perform its duties or obligations in accordance with the provisions hereof;</w:t>
      </w:r>
    </w:p>
    <w:p>
      <w:pPr>
        <w:spacing w:after="0" w:line="179" w:lineRule="exact"/>
        <w:rPr>
          <w:rFonts w:ascii="Times New Roman" w:cs="Times New Roman" w:eastAsia="Times New Roman" w:hAnsi="Times New Roman"/>
          <w:sz w:val="22"/>
          <w:szCs w:val="22"/>
          <w:color w:val="auto"/>
        </w:rPr>
      </w:pPr>
    </w:p>
    <w:p>
      <w:pPr>
        <w:ind w:right="20" w:firstLine="656"/>
        <w:spacing w:after="0" w:line="255" w:lineRule="auto"/>
        <w:tabs>
          <w:tab w:leader="none" w:pos="129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products liability claim or personal injury or property damage suit or other similar or related claim or action of whatever sort arising out of or in connection with merchandise or services which are the subject of any Conveyed Receivable;</w:t>
      </w:r>
    </w:p>
    <w:p>
      <w:pPr>
        <w:spacing w:after="0" w:line="1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to the SPV of an interest in any Receivable other than an Eligible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3" w:lineRule="exact"/>
        <w:rPr>
          <w:sz w:val="20"/>
          <w:szCs w:val="20"/>
          <w:color w:val="auto"/>
        </w:rPr>
      </w:pPr>
    </w:p>
    <w:p>
      <w:pPr>
        <w:jc w:val="both"/>
        <w:ind w:firstLine="656"/>
        <w:spacing w:after="0" w:line="225" w:lineRule="auto"/>
        <w:tabs>
          <w:tab w:leader="none" w:pos="128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any Originator to comply with any term, provision or covenant contained in this Agreement or any of the other Transaction Documents to which it is a party or to perform any of its respective duties or obligations under the Conveyed Receivables or related Contracts;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any Originator to pay when due any sales, excise or personal property taxes payable in connection with any of the Conveyed Receivables;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repayment by any Originator Indemnified Party of any amount previously distributed in reduction of Net Investment which such Originator Indemnified Party believes in good faith is required to be made;</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commingling by any Originator of Collections at any time with any other funds;</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litigation or proceeding related to this Agreement, any of the other Transaction Documents, the use of proceeds of purchases by any Originator, the ownership of the Asset Interest, or any Conveyed Receivable or Related Asset;</w:t>
      </w:r>
    </w:p>
    <w:p>
      <w:pPr>
        <w:spacing w:after="0" w:line="152" w:lineRule="exact"/>
        <w:rPr>
          <w:rFonts w:ascii="Times New Roman" w:cs="Times New Roman" w:eastAsia="Times New Roman" w:hAnsi="Times New Roman"/>
          <w:sz w:val="22"/>
          <w:szCs w:val="22"/>
          <w:color w:val="auto"/>
        </w:rPr>
      </w:pPr>
    </w:p>
    <w:p>
      <w:pPr>
        <w:jc w:val="both"/>
        <w:ind w:firstLine="656"/>
        <w:spacing w:after="0" w:line="226" w:lineRule="auto"/>
        <w:tabs>
          <w:tab w:leader="none" w:pos="1291"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of any (i) Blocked Account Bank to remit any amounts held in the Blocked Accounts or any related lock-boxes or (ii) Existing Lee Account Bank to remit the Collections in the Existing Lee Accounts to a Blocked Account within two</w:t>
      </w:r>
    </w:p>
    <w:p>
      <w:pPr>
        <w:spacing w:after="0" w:line="1" w:lineRule="exact"/>
        <w:rPr>
          <w:rFonts w:ascii="Times New Roman" w:cs="Times New Roman" w:eastAsia="Times New Roman" w:hAnsi="Times New Roman"/>
          <w:sz w:val="21"/>
          <w:szCs w:val="21"/>
          <w:color w:val="auto"/>
        </w:rPr>
      </w:pPr>
    </w:p>
    <w:p>
      <w:pPr>
        <w:jc w:val="both"/>
        <w:ind w:right="20" w:firstLine="8"/>
        <w:spacing w:after="0" w:line="218" w:lineRule="auto"/>
        <w:tabs>
          <w:tab w:leader="none" w:pos="3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receipt, in each case, pursuant to the instructions of the Servicer, the SPV, any Originator or the Agent (to the extent such Person is entitled to give such instructions in accordance with the terms hereof, of the Second Tier Agreement and of any applicable Blocked Account Agreement) whether by reason of the exercise of set-off rights or otherwise;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inability to obtain any judgment in or utilize the court or other adjudication system of, any state in which an Obligor may be located as a result of the failure of any Originator to qualify to do business or file any notice of business activity report or any similar report;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attempt by any Person to void, rescind or set-aside any transfer by any Originator to the SPV of any Conveyed Receivable or Related Assets under statutory provisions or common law or equitable action, including any provision of the Bankruptcy Code or other insolvency law;</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any Originator or the Servicer (if the Servicer is an Affiliate or designee of an Originator) in the enforcement or collection of any Conveyed Receivable (unless such action was directed by the Agent or the Investors in bad faith or with gross negligence or willful misconduct);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proceeds of any Purchase hereunder; or</w:t>
      </w:r>
    </w:p>
    <w:p>
      <w:pPr>
        <w:spacing w:after="0" w:line="16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amounts paid or payable by the SPV pursuant to Sections 9.3, 9.4 or 9.5 of the Second Tier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IX</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(a) No failure or delay on the part of the SPV in exercising any power, right or remedy under this Agreement shall operate as a waiver thereof, nor shall any single or partial exercise of any such power, right or remedy preclude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further exercise thereof or the exercise of any other power, right or remedy. The rights and remedies herein provided shall be cumulative and nonexclusive of any rights or remedies provided by law.</w:t>
      </w:r>
    </w:p>
    <w:p>
      <w:pPr>
        <w:spacing w:after="0" w:line="150" w:lineRule="exact"/>
        <w:rPr>
          <w:sz w:val="20"/>
          <w:szCs w:val="20"/>
          <w:color w:val="auto"/>
        </w:rPr>
      </w:pPr>
    </w:p>
    <w:p>
      <w:pPr>
        <w:ind w:firstLine="656"/>
        <w:spacing w:after="0" w:line="236"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may be amended or waived if, but only if, such amendment or waiver is in writing and is signed by each of the parties hereto and consented to in writing by the Agent and the Majority Investors.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and notices provided for hereunder shall be provided in the manner described in the Notice Letter Agreement.</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AGREEMENT SHALL BE GOVERNED BY AND CONSTRUED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ACCORDANCE WITH THE LAWS OF THE STATE OF NEW YORK (WITHOUT REFERENCE TO THE CONFLICTS OF LAW PRINCIPLES THEREOF OTHER THAN SECTION 5-1401 OF THE NEW YORK GENERAL OBLIGATIONS LAW).</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9.4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9.5 </w:t>
      </w: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If any one or more of the provisions of this Agreement shall for any reason whatsoever be held invalid, then such provisions shall be deemed severable from the remaining provisions of this Agreement and shall in no way affect the validity or enforceability of such other provisions.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Counterparts; Facsimile Delivery</w:t>
      </w:r>
      <w:r>
        <w:rPr>
          <w:rFonts w:ascii="Times New Roman" w:cs="Times New Roman" w:eastAsia="Times New Roman" w:hAnsi="Times New Roman"/>
          <w:sz w:val="22"/>
          <w:szCs w:val="22"/>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Delivery by facsimile or e-mail of an executed signature page of this Agreement shall be effective as delivery of an executed counterpart hereof.</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Successors and Assigns; Binding Effect</w:t>
      </w:r>
      <w:r>
        <w:rPr>
          <w:rFonts w:ascii="Times New Roman" w:cs="Times New Roman" w:eastAsia="Times New Roman" w:hAnsi="Times New Roman"/>
          <w:sz w:val="22"/>
          <w:szCs w:val="22"/>
          <w:color w:val="auto"/>
        </w:rPr>
        <w:t xml:space="preserve">. This Agreement shall be binding upon and inure to the benefit of the parties hereto and their respective successors and assigns and shall also inure to the benefit of the parties to the Second Tier Agreement and their respective successors and assigns;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none of the Originators nor the SPV may assign any of its rights or delegate any of its duties hereunder or under any of the other Transaction Documents to which it is a party without the prior written consent of each Managing Agent. Each Originator acknowledges that the SPV’s rights under this Agreement may be assigned to the Agent, on behalf of the Investors, under the Second Tier Agreement and consents to such assignment and to the exercise of those rights directly by the Agent, to the extent permitted by the Second Tier Agreement. The Agent shall be an express third party beneficiary of this Agreement.</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9.8 </w:t>
      </w:r>
      <w:r>
        <w:rPr>
          <w:rFonts w:ascii="Times New Roman" w:cs="Times New Roman" w:eastAsia="Times New Roman" w:hAnsi="Times New Roman"/>
          <w:sz w:val="22"/>
          <w:szCs w:val="22"/>
          <w:u w:val="single" w:color="auto"/>
          <w:color w:val="auto"/>
        </w:rPr>
        <w:t>Costs, Expenses and Taxes</w:t>
      </w:r>
      <w:r>
        <w:rPr>
          <w:rFonts w:ascii="Times New Roman" w:cs="Times New Roman" w:eastAsia="Times New Roman" w:hAnsi="Times New Roman"/>
          <w:sz w:val="22"/>
          <w:szCs w:val="22"/>
          <w:color w:val="auto"/>
        </w:rPr>
        <w:t xml:space="preserve">. In addition to its obligations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each Originator agrees to pay on demand (a) all costs and expenses (including attorneys’, accountants’ and other third parties’ fees and expenses, any filing fees and expenses incurred by officers or employees of the SPV or its assigns) incurred by the SPV and its assigns in connection with the enforcement of, or any actual or claimed breach of, this Agreement, including the reasonable attorneys’ fees and expenses incurred in connection with the foregoing or in advising such Persons as to their respective rights and remedies under this Agreement in connection with any of the foregoing and (b) all stamp and other taxes and fees payable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determined to be payable in connection with the execution, delivery, filing and recording of this Agreement, other than taxes based upon income.</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No Proceedings; Limited Recourse</w:t>
      </w:r>
      <w:r>
        <w:rPr>
          <w:rFonts w:ascii="Times New Roman" w:cs="Times New Roman" w:eastAsia="Times New Roman" w:hAnsi="Times New Roman"/>
          <w:sz w:val="22"/>
          <w:szCs w:val="22"/>
          <w:color w:val="auto"/>
        </w:rPr>
        <w:t>. Each Originator covenants and agrees, for the benefit of the parties to the Second Tier Agreement, that it shall not institute against SPV, or join any other Person in instituting against SPV, any proceeding of a type referred to in the definition of Event of Bankruptcy until one (1) year and one (1) day after the Final Payout Date. In addition, all amounts payable by the SPV to an Originator pursuant to this Agreement shall be payable solely from funds available for that purpose pursuant to Section 2.14 of the Second Tier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SPV and each Originator agree to do and perform, from time to time, any and all acts and to execute any and all further instruments required or reasonably requested by the other party more fully to effect the purposes of this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4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SPV and each Originator have caused this Sale Agreement to be duly executed by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officers as of the day and year first above written.</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GREIF PACKAGING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21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AMERICAN FLANGE &amp; MANUFACTURING CO.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21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CARAUSTAR MILL GROUP,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211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19" w:lineRule="exact"/>
        <w:rPr>
          <w:sz w:val="20"/>
          <w:szCs w:val="20"/>
          <w:color w:val="auto"/>
        </w:rPr>
      </w:pPr>
    </w:p>
    <w:p>
      <w:pPr>
        <w:ind w:left="3900" w:right="80"/>
        <w:spacing w:after="0" w:line="275" w:lineRule="auto"/>
        <w:rPr>
          <w:sz w:val="20"/>
          <w:szCs w:val="20"/>
          <w:color w:val="auto"/>
        </w:rPr>
      </w:pPr>
      <w:r>
        <w:rPr>
          <w:rFonts w:ascii="Times New Roman" w:cs="Times New Roman" w:eastAsia="Times New Roman" w:hAnsi="Times New Roman"/>
          <w:sz w:val="22"/>
          <w:szCs w:val="22"/>
          <w:b w:val="1"/>
          <w:bCs w:val="1"/>
          <w:color w:val="auto"/>
        </w:rPr>
        <w:t>CARAUSTAR INDUSTRIAL AND CONSUMER PRODUCTS GROUP, INC.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Originator</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211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CARAUSTAR RECOVERED FIBER GROUP,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21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Treasurer</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THE NEWARK GROUP,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211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0" w:lineRule="exact"/>
        <w:rPr>
          <w:sz w:val="20"/>
          <w:szCs w:val="20"/>
          <w:color w:val="auto"/>
        </w:rPr>
      </w:pPr>
    </w:p>
    <w:p>
      <w:pPr>
        <w:ind w:left="2780" w:right="919"/>
        <w:spacing w:after="0" w:line="275" w:lineRule="auto"/>
        <w:rPr>
          <w:sz w:val="20"/>
          <w:szCs w:val="20"/>
          <w:color w:val="auto"/>
        </w:rPr>
      </w:pPr>
      <w:r>
        <w:rPr>
          <w:rFonts w:ascii="Times New Roman" w:cs="Times New Roman" w:eastAsia="Times New Roman" w:hAnsi="Times New Roman"/>
          <w:sz w:val="22"/>
          <w:szCs w:val="22"/>
          <w:b w:val="1"/>
          <w:bCs w:val="1"/>
          <w:color w:val="auto"/>
        </w:rPr>
        <w:t>CARAUSTAR CONSUMER PRODUCTS GROUP, LLC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Originator</w:t>
      </w:r>
    </w:p>
    <w:p>
      <w:pPr>
        <w:spacing w:after="0" w:line="1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21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CASCADE PAPER CONVERTERS CO.</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21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2" w:lineRule="exact"/>
        <w:rPr>
          <w:sz w:val="20"/>
          <w:szCs w:val="20"/>
          <w:color w:val="auto"/>
        </w:rPr>
      </w:pPr>
    </w:p>
    <w:p>
      <w:pPr>
        <w:ind w:left="2780" w:right="1339"/>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CONTAINER LIFE CYCLE MANAGEMENT LLC, </w:t>
      </w:r>
      <w:r>
        <w:rPr>
          <w:rFonts w:ascii="Times New Roman" w:cs="Times New Roman" w:eastAsia="Times New Roman" w:hAnsi="Times New Roman"/>
          <w:sz w:val="22"/>
          <w:szCs w:val="22"/>
          <w:color w:val="auto"/>
        </w:rPr>
        <w:t>as an Originator</w:t>
      </w:r>
    </w:p>
    <w:p>
      <w:pPr>
        <w:spacing w:after="0" w:line="18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211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 </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LEE CONTAINER, LLC,</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21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LEE CONTAINER IOWA, LLC,</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-13970</wp:posOffset>
            </wp:positionV>
            <wp:extent cx="1421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Treasurer</w:t>
      </w:r>
    </w:p>
    <w:p>
      <w:pPr>
        <w:sectPr>
          <w:pgSz w:w="11900" w:h="16838" w:orient="portrait"/>
          <w:cols w:equalWidth="0" w:num="1">
            <w:col w:w="9019"/>
          </w:cols>
          <w:pgMar w:left="1440" w:top="1440" w:right="1440"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GREIF RECEIVABLES FUNDING LLC</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the SPV</w:t>
      </w: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421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Consented to:</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GREIF, INC.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421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 Treasurer</w:t>
      </w:r>
    </w:p>
    <w:p>
      <w:pPr>
        <w:sectPr>
          <w:pgSz w:w="11900" w:h="16838" w:orient="portrait"/>
          <w:cols w:equalWidth="0" w:num="1">
            <w:col w:w="10139"/>
          </w:cols>
          <w:pgMar w:left="320" w:top="1440" w:right="1440" w:bottom="1440" w:gutter="0" w:footer="0" w:header="0"/>
        </w:sectPr>
      </w:pPr>
    </w:p>
    <w:bookmarkStart w:id="32" w:name="page33"/>
    <w:bookmarkEnd w:id="32"/>
    <w:p>
      <w:pPr>
        <w:spacing w:after="0" w:line="46"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21"/>
          <w:szCs w:val="21"/>
          <w:b w:val="1"/>
          <w:bCs w:val="1"/>
          <w:color w:val="auto"/>
        </w:rPr>
        <w:t>SCHEDULE I</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PERFECTION REPRESENTATIONS, WARRANTIES AND COVENANTS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addition to the representations, warranties and covenants contained in this Agreement, each Originator hereby represents, warrants, and covenants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w:t>
      </w:r>
    </w:p>
    <w:p>
      <w:pPr>
        <w:spacing w:after="0" w:line="193" w:lineRule="exact"/>
        <w:rPr>
          <w:sz w:val="20"/>
          <w:szCs w:val="20"/>
          <w:color w:val="auto"/>
        </w:rPr>
      </w:pPr>
    </w:p>
    <w:p>
      <w:pPr>
        <w:jc w:val="both"/>
        <w:ind w:firstLine="656"/>
        <w:spacing w:after="0" w:line="225"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Tier Agreement creates a valid and continuing security interest (as defined in UCC Section 9-102) in the Conveyed Receivables and Related Assets in favor of the SPV, which security interest is prior to all other Adverse Claims, and is enforceable as such as against creditors of and purchasers from the Originators.</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Conveyed Receivables constitute “accounts” within the meaning of UCC Section 9-102. The rights of the Originators under the First Tier Agreement constitute “general intangibles” within the meaning of UCC Section 9-102.</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Originator has taken all steps necessary to perfect its security interest against the applicable Obligors in the Conveyed Receivables and Related Assets (if any) securing the Conveyed Receivables.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Creation</w:t>
      </w:r>
    </w:p>
    <w:p>
      <w:pPr>
        <w:spacing w:after="0" w:line="193" w:lineRule="exact"/>
        <w:rPr>
          <w:sz w:val="20"/>
          <w:szCs w:val="20"/>
          <w:color w:val="auto"/>
        </w:rPr>
      </w:pPr>
    </w:p>
    <w:p>
      <w:pPr>
        <w:jc w:val="both"/>
        <w:ind w:firstLine="656"/>
        <w:spacing w:after="0" w:line="224" w:lineRule="auto"/>
        <w:tabs>
          <w:tab w:leader="none" w:pos="129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Immediately prior to the transfer and assignment herein contemplated, each Originator had good title to the Conveyed Receivables transferred by it to the SPV under the First Tier Agreement, and was the sole owner thereof, free and clear of all Adverse Claims and, upon the transfer thereof, the SPV shall have good title to such Conveyed Receivables, and will (i) be the sole owner thereof, free and clear of all liens, encumbrances, security interests, and rights of others, or (ii) have a first priority security interest in such Conveyed Receivables, and the transfer or security interest has been perfected under the UCC. No Originator has taken any action to convey any right to any Person that would result in such Person having a right to payments due under the Conveyed Receivables, except as contemplated by the First Tier Agreement and the other Transaction Documents.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Perfection</w:t>
      </w:r>
    </w:p>
    <w:p>
      <w:pPr>
        <w:spacing w:after="0" w:line="180" w:lineRule="exact"/>
        <w:rPr>
          <w:sz w:val="20"/>
          <w:szCs w:val="20"/>
          <w:color w:val="auto"/>
        </w:rPr>
      </w:pPr>
    </w:p>
    <w:p>
      <w:pPr>
        <w:ind w:left="1300" w:hanging="644"/>
        <w:spacing w:after="0"/>
        <w:tabs>
          <w:tab w:leader="none" w:pos="13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Originator has taken or will have taken all steps reasonably necessary to assist the SPV to cause, within ten</w:t>
      </w:r>
    </w:p>
    <w:p>
      <w:pPr>
        <w:jc w:val="both"/>
        <w:ind w:firstLine="8"/>
        <w:spacing w:after="0" w:line="218" w:lineRule="auto"/>
        <w:tabs>
          <w:tab w:leader="none" w:pos="41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effective date of the First Tier Agreement, the filing of all appropriate financing statements in the proper filing office in the appropriate jurisdictions under applicable law in order to perfect the sale of, or security interest in, the Conveyed Receivables and the rights of the SPV under the First Tier Agreement from SPV to the Agent.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Priority</w:t>
      </w:r>
    </w:p>
    <w:p>
      <w:pPr>
        <w:spacing w:after="0" w:line="193" w:lineRule="exact"/>
        <w:rPr>
          <w:sz w:val="20"/>
          <w:szCs w:val="20"/>
          <w:color w:val="auto"/>
        </w:rPr>
      </w:pPr>
    </w:p>
    <w:p>
      <w:pPr>
        <w:jc w:val="both"/>
        <w:ind w:firstLine="656"/>
        <w:spacing w:after="0" w:line="225"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transfer of the Conveyed Receivables under the First Tier Agreement, none of the Originators has pledged, assigned, sold, granted a security interest in, or otherwise conveyed any of the Conveyed Receivables or the Related Assets.</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Originators has any knowledge of any judgment, ERISA or tax lien filings against it which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I-1</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3" w:lineRule="exact"/>
        <w:rPr>
          <w:sz w:val="20"/>
          <w:szCs w:val="20"/>
          <w:color w:val="auto"/>
        </w:rPr>
      </w:pPr>
    </w:p>
    <w:p>
      <w:pPr>
        <w:jc w:val="both"/>
        <w:ind w:firstLine="656"/>
        <w:spacing w:after="0" w:line="225"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any other Transaction Document, the Perfection Representations contained in this Schedule shall be continuing, and remain in full force and effect until such time as all obligations under the First Tier Agreement have been finally and fully paid and performed.</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evidence the interests of the SPV under the First Tier Agreement, each Originator shall, from time to time, take such action, or execute and deliver such instruments (other than filing financing statements) as may be necessary (including such actions as are requested in writing by the Agent) to maintain the SPV’s ownership interest and to maintain and perfect, as a first-priority interest, the SPV’s security interest in the Conveyed Receivables and the other Related Assets. The Originators shall, upon the request of the Agent, from time to time and within the time limits established by Law, prepare and present to the Agent for the Agent’s authorization and approval all financing statements, amendments, continuations or other filings necessary to continue, maintain and perfect as a first-priority interest the SPV’s interest in the Conveyed Receivables and other Related Assets. The Agent’s approval of such filings shall authorize the Originators to file such financing statements under the UCC. Notwithstanding anything else in the Transaction Documents to the contrary, the Originators shall not have any authority to file a termination, partial termination, release, partial release, or any amendment that deletes the name of a debtor or excludes collateral of any such financing statements, without the prior written consent of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I-2</w:t>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FOURTH AMENDED AND RESTATED</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TRANSFER AND ADMINISTRATION AGREEMENT</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Dated as of May 11, 2026</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by and among</w:t>
      </w:r>
    </w:p>
    <w:p>
      <w:pPr>
        <w:spacing w:after="0" w:line="2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GREIF RECEIVABLES FUNDING LLC,</w:t>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as SPV</w:t>
      </w:r>
    </w:p>
    <w:p>
      <w:pPr>
        <w:spacing w:after="0" w:line="19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GREIF PACKAGING LLC,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as initial Servicer</w:t>
      </w:r>
    </w:p>
    <w:p>
      <w:pPr>
        <w:spacing w:after="0" w:line="20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GREIF PACKAGING LLC,</w:t>
      </w:r>
    </w:p>
    <w:p>
      <w:pPr>
        <w:spacing w:after="0" w:line="3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b w:val="1"/>
          <w:bCs w:val="1"/>
          <w:color w:val="auto"/>
        </w:rPr>
        <w:t>AMERICAN FLANGE &amp; MANUFACTURING CO. INC.,</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CARAUSTAR MILL GROUP,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CARAUSTAR INDUSTRIAL AND CONSUMER PRODUCTS GROUP, INC.,</w:t>
      </w:r>
    </w:p>
    <w:p>
      <w:pPr>
        <w:spacing w:after="0" w:line="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CARAUSTAR RECOVERED FIBER GROUP, INC.,</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THE NEWARK GROUP, INC.,</w:t>
      </w:r>
    </w:p>
    <w:p>
      <w:pPr>
        <w:spacing w:after="0" w:line="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CARAUSTAR CONSUMER PRODUCTS GROUP, LLC,</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CASCADE PAPER CONVERTERS CO.,</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CONTAINER LIFE CYCLE MANAGEMENT LLC,</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LEE CONTAINER, LLC,</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LEE CONTAINER IOWA, LLC,</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and each other entity from time to time party hereto</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as an Originator, as Originators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as a Committed Investor, a Managing Agent, an Administrator and the Agent</w:t>
      </w: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THE VARIOUS INVESTOR GROUPS, MANAGING AGENTS AND ADMINISTRATORS FROM TIME TO TIME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286385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820" w:top="1418" w:right="899" w:bottom="1440" w:gutter="0" w:footer="0" w:header="0"/>
        </w:sectPr>
      </w:pPr>
    </w:p>
    <w:bookmarkStart w:id="35" w:name="page36"/>
    <w:bookmarkEnd w:id="35"/>
    <w:p>
      <w:pPr>
        <w:ind w:left="660"/>
        <w:spacing w:after="0"/>
        <w:tabs>
          <w:tab w:leader="none" w:pos="2080" w:val="left"/>
          <w:tab w:leader="none" w:pos="4340" w:val="left"/>
        </w:tabs>
        <w:rPr>
          <w:sz w:val="20"/>
          <w:szCs w:val="20"/>
          <w:color w:val="auto"/>
        </w:rPr>
      </w:pPr>
      <w:r>
        <w:rPr>
          <w:rFonts w:ascii="Times New Roman" w:cs="Times New Roman" w:eastAsia="Times New Roman" w:hAnsi="Times New Roman"/>
          <w:sz w:val="22"/>
          <w:szCs w:val="22"/>
          <w:u w:val="single" w:color="auto"/>
          <w:color w:val="0000FF"/>
        </w:rPr>
        <w:t>SECTION 1.1</w:t>
      </w:r>
      <w:r>
        <w:rPr>
          <w:sz w:val="20"/>
          <w:szCs w:val="20"/>
          <w:color w:val="auto"/>
        </w:rPr>
        <w:tab/>
      </w:r>
      <w:r>
        <w:rPr>
          <w:rFonts w:ascii="Times New Roman" w:cs="Times New Roman" w:eastAsia="Times New Roman" w:hAnsi="Times New Roman"/>
          <w:sz w:val="22"/>
          <w:szCs w:val="22"/>
          <w:u w:val="single" w:color="auto"/>
          <w:color w:val="0000FF"/>
        </w:rPr>
        <w:t>Certain Defined Terms.</w:t>
      </w:r>
      <w:r>
        <w:rPr>
          <w:sz w:val="20"/>
          <w:szCs w:val="20"/>
          <w:color w:val="auto"/>
        </w:rPr>
        <w:tab/>
      </w:r>
      <w:r>
        <w:rPr>
          <w:rFonts w:ascii="Times New Roman" w:cs="Times New Roman" w:eastAsia="Times New Roman" w:hAnsi="Times New Roman"/>
          <w:sz w:val="19"/>
          <w:szCs w:val="19"/>
          <w:color w:val="auto"/>
        </w:rPr>
        <w:t>2</w:t>
      </w:r>
    </w:p>
    <w:p>
      <w:pPr>
        <w:spacing w:after="0" w:line="112" w:lineRule="exact"/>
        <w:rPr>
          <w:sz w:val="20"/>
          <w:szCs w:val="20"/>
          <w:color w:val="auto"/>
        </w:rPr>
      </w:pPr>
    </w:p>
    <w:p>
      <w:pPr>
        <w:ind w:left="660"/>
        <w:spacing w:after="0"/>
        <w:tabs>
          <w:tab w:leader="none" w:pos="2080" w:val="left"/>
          <w:tab w:leader="none" w:pos="3440" w:val="left"/>
        </w:tabs>
        <w:rPr>
          <w:sz w:val="20"/>
          <w:szCs w:val="20"/>
          <w:color w:val="auto"/>
        </w:rPr>
      </w:pPr>
      <w:r>
        <w:rPr>
          <w:rFonts w:ascii="Times New Roman" w:cs="Times New Roman" w:eastAsia="Times New Roman" w:hAnsi="Times New Roman"/>
          <w:sz w:val="22"/>
          <w:szCs w:val="22"/>
          <w:u w:val="single" w:color="auto"/>
          <w:color w:val="0000FF"/>
        </w:rPr>
        <w:t>SECTION 1.2</w:t>
      </w:r>
      <w:r>
        <w:rPr>
          <w:sz w:val="20"/>
          <w:szCs w:val="20"/>
          <w:color w:val="auto"/>
        </w:rPr>
        <w:tab/>
      </w:r>
      <w:r>
        <w:rPr>
          <w:rFonts w:ascii="Times New Roman" w:cs="Times New Roman" w:eastAsia="Times New Roman" w:hAnsi="Times New Roman"/>
          <w:sz w:val="22"/>
          <w:szCs w:val="22"/>
          <w:u w:val="single" w:color="auto"/>
          <w:color w:val="0000FF"/>
        </w:rPr>
        <w:t>Other Terms.</w:t>
      </w:r>
      <w:r>
        <w:rPr>
          <w:sz w:val="20"/>
          <w:szCs w:val="20"/>
          <w:color w:val="auto"/>
        </w:rPr>
        <w:tab/>
      </w:r>
      <w:r>
        <w:rPr>
          <w:rFonts w:ascii="Times New Roman" w:cs="Times New Roman" w:eastAsia="Times New Roman" w:hAnsi="Times New Roman"/>
          <w:sz w:val="22"/>
          <w:szCs w:val="22"/>
          <w:color w:val="auto"/>
        </w:rPr>
        <w:t>38</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1.4</w:t>
            </w: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0000FF"/>
                <w:w w:val="96"/>
              </w:rPr>
              <w:t>Times of Day.</w:t>
            </w:r>
          </w:p>
        </w:tc>
        <w:tc>
          <w:tcPr>
            <w:tcW w:w="5400" w:type="dxa"/>
            <w:vAlign w:val="bottom"/>
            <w:gridSpan w:val="2"/>
          </w:tcPr>
          <w:p>
            <w:pPr>
              <w:jc w:val="right"/>
              <w:ind w:right="4980"/>
              <w:spacing w:after="0"/>
              <w:rPr>
                <w:sz w:val="20"/>
                <w:szCs w:val="20"/>
                <w:color w:val="auto"/>
              </w:rPr>
            </w:pPr>
            <w:r>
              <w:rPr>
                <w:rFonts w:ascii="Times New Roman" w:cs="Times New Roman" w:eastAsia="Times New Roman" w:hAnsi="Times New Roman"/>
                <w:sz w:val="22"/>
                <w:szCs w:val="22"/>
                <w:color w:val="auto"/>
              </w:rPr>
              <w:t>39</w:t>
            </w:r>
          </w:p>
        </w:tc>
        <w:tc>
          <w:tcPr>
            <w:tcW w:w="420" w:type="dxa"/>
            <w:vAlign w:val="bottom"/>
          </w:tcPr>
          <w:p>
            <w:pPr>
              <w:spacing w:after="0"/>
              <w:rPr>
                <w:sz w:val="22"/>
                <w:szCs w:val="22"/>
                <w:color w:val="auto"/>
              </w:rPr>
            </w:pPr>
          </w:p>
        </w:tc>
      </w:tr>
      <w:tr>
        <w:trPr>
          <w:trHeight w:val="20"/>
        </w:trPr>
        <w:tc>
          <w:tcPr>
            <w:tcW w:w="13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1.5</w:t>
            </w:r>
          </w:p>
        </w:tc>
        <w:tc>
          <w:tcPr>
            <w:tcW w:w="71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rPr>
              <w:t xml:space="preserve">Changes in GAAP.  </w:t>
            </w:r>
            <w:r>
              <w:rPr>
                <w:rFonts w:ascii="Times New Roman" w:cs="Times New Roman" w:eastAsia="Times New Roman" w:hAnsi="Times New Roman"/>
                <w:sz w:val="22"/>
                <w:szCs w:val="22"/>
                <w:color w:val="000000"/>
              </w:rPr>
              <w:t>39</w:t>
            </w:r>
          </w:p>
        </w:tc>
      </w:tr>
      <w:tr>
        <w:trPr>
          <w:trHeight w:val="20"/>
        </w:trPr>
        <w:tc>
          <w:tcPr>
            <w:tcW w:w="13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1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1.6</w:t>
            </w:r>
          </w:p>
        </w:tc>
        <w:tc>
          <w:tcPr>
            <w:tcW w:w="1340" w:type="dxa"/>
            <w:vAlign w:val="bottom"/>
            <w:tcBorders>
              <w:bottom w:val="single" w:sz="8" w:color="0000FF"/>
            </w:tcBorders>
            <w:gridSpan w:val="2"/>
          </w:tcPr>
          <w:p>
            <w:pPr>
              <w:ind w:left="100"/>
              <w:spacing w:after="0"/>
              <w:rPr>
                <w:sz w:val="20"/>
                <w:szCs w:val="20"/>
                <w:color w:val="auto"/>
              </w:rPr>
            </w:pPr>
            <w:r>
              <w:rPr>
                <w:rFonts w:ascii="Times New Roman" w:cs="Times New Roman" w:eastAsia="Times New Roman" w:hAnsi="Times New Roman"/>
                <w:sz w:val="22"/>
                <w:szCs w:val="22"/>
                <w:color w:val="0000FF"/>
                <w:w w:val="96"/>
              </w:rPr>
              <w:t>Interest Rates.</w:t>
            </w:r>
          </w:p>
        </w:tc>
        <w:tc>
          <w:tcPr>
            <w:tcW w:w="5400" w:type="dxa"/>
            <w:vAlign w:val="bottom"/>
            <w:gridSpan w:val="2"/>
          </w:tcPr>
          <w:p>
            <w:pPr>
              <w:jc w:val="right"/>
              <w:ind w:right="4960"/>
              <w:spacing w:after="0"/>
              <w:rPr>
                <w:sz w:val="20"/>
                <w:szCs w:val="20"/>
                <w:color w:val="auto"/>
              </w:rPr>
            </w:pPr>
            <w:r>
              <w:rPr>
                <w:rFonts w:ascii="Times New Roman" w:cs="Times New Roman" w:eastAsia="Times New Roman" w:hAnsi="Times New Roman"/>
                <w:sz w:val="22"/>
                <w:szCs w:val="22"/>
                <w:color w:val="auto"/>
              </w:rPr>
              <w:t>39</w:t>
            </w:r>
          </w:p>
        </w:tc>
        <w:tc>
          <w:tcPr>
            <w:tcW w:w="420" w:type="dxa"/>
            <w:vAlign w:val="bottom"/>
          </w:tcPr>
          <w:p>
            <w:pPr>
              <w:spacing w:after="0"/>
              <w:rPr>
                <w:sz w:val="24"/>
                <w:szCs w:val="24"/>
                <w:color w:val="auto"/>
              </w:rPr>
            </w:pPr>
          </w:p>
        </w:tc>
      </w:tr>
      <w:tr>
        <w:trPr>
          <w:trHeight w:val="345"/>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1.7</w:t>
            </w:r>
          </w:p>
        </w:tc>
        <w:tc>
          <w:tcPr>
            <w:tcW w:w="71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w w:val="99"/>
              </w:rPr>
              <w:t xml:space="preserve">Acknowledgments Regarding Conduit Investors and Uncommitted Investors  </w:t>
            </w:r>
            <w:r>
              <w:rPr>
                <w:rFonts w:ascii="Times New Roman" w:cs="Times New Roman" w:eastAsia="Times New Roman" w:hAnsi="Times New Roman"/>
                <w:sz w:val="22"/>
                <w:szCs w:val="22"/>
                <w:color w:val="000000"/>
                <w:w w:val="99"/>
              </w:rPr>
              <w:t>39</w:t>
            </w:r>
          </w:p>
        </w:tc>
      </w:tr>
      <w:tr>
        <w:trPr>
          <w:trHeight w:val="20"/>
        </w:trPr>
        <w:tc>
          <w:tcPr>
            <w:tcW w:w="13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II PURCHASES AND SETTLEMENTS</w:t>
      </w:r>
    </w:p>
    <w:p>
      <w:pPr>
        <w:spacing w:after="0" w:line="112" w:lineRule="exact"/>
        <w:rPr>
          <w:sz w:val="20"/>
          <w:szCs w:val="20"/>
          <w:color w:val="auto"/>
        </w:rPr>
      </w:pPr>
    </w:p>
    <w:p>
      <w:pPr>
        <w:ind w:left="660" w:right="2819"/>
        <w:spacing w:after="0" w:line="352" w:lineRule="auto"/>
        <w:rPr>
          <w:sz w:val="20"/>
          <w:szCs w:val="20"/>
          <w:color w:val="auto"/>
        </w:rPr>
      </w:pPr>
      <w:r>
        <w:rPr>
          <w:rFonts w:ascii="Times New Roman" w:cs="Times New Roman" w:eastAsia="Times New Roman" w:hAnsi="Times New Roman"/>
          <w:sz w:val="22"/>
          <w:szCs w:val="22"/>
          <w:u w:val="single" w:color="auto"/>
          <w:color w:val="0000FF"/>
        </w:rPr>
        <w:t>SECTION 2.1 Transfer of Affected Assets; Intended Characterization.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40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2.2 Purchase Price.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41</w:t>
      </w:r>
    </w:p>
    <w:p>
      <w:pPr>
        <w:ind w:left="660"/>
        <w:spacing w:after="0"/>
        <w:tabs>
          <w:tab w:leader="none" w:pos="2080" w:val="left"/>
          <w:tab w:leader="none" w:pos="4340" w:val="left"/>
        </w:tabs>
        <w:rPr>
          <w:sz w:val="20"/>
          <w:szCs w:val="20"/>
          <w:color w:val="auto"/>
        </w:rPr>
      </w:pPr>
      <w:r>
        <w:rPr>
          <w:rFonts w:ascii="Times New Roman" w:cs="Times New Roman" w:eastAsia="Times New Roman" w:hAnsi="Times New Roman"/>
          <w:sz w:val="22"/>
          <w:szCs w:val="22"/>
          <w:u w:val="single" w:color="auto"/>
          <w:color w:val="0000FF"/>
        </w:rPr>
        <w:t>SECTION 2.3</w:t>
      </w:r>
      <w:r>
        <w:rPr>
          <w:sz w:val="20"/>
          <w:szCs w:val="20"/>
          <w:color w:val="auto"/>
        </w:rPr>
        <w:tab/>
      </w:r>
      <w:r>
        <w:rPr>
          <w:rFonts w:ascii="Times New Roman" w:cs="Times New Roman" w:eastAsia="Times New Roman" w:hAnsi="Times New Roman"/>
          <w:sz w:val="22"/>
          <w:szCs w:val="22"/>
          <w:u w:val="single" w:color="auto"/>
          <w:color w:val="0000FF"/>
        </w:rPr>
        <w:t>Investment Procedures.</w:t>
      </w:r>
      <w:r>
        <w:rPr>
          <w:sz w:val="20"/>
          <w:szCs w:val="20"/>
          <w:color w:val="auto"/>
        </w:rPr>
        <w:tab/>
      </w:r>
      <w:r>
        <w:rPr>
          <w:rFonts w:ascii="Times New Roman" w:cs="Times New Roman" w:eastAsia="Times New Roman" w:hAnsi="Times New Roman"/>
          <w:sz w:val="19"/>
          <w:szCs w:val="19"/>
          <w:color w:val="auto"/>
        </w:rPr>
        <w:t>42</w:t>
      </w:r>
    </w:p>
    <w:p>
      <w:pPr>
        <w:spacing w:after="0" w:line="112" w:lineRule="exact"/>
        <w:rPr>
          <w:sz w:val="20"/>
          <w:szCs w:val="20"/>
          <w:color w:val="auto"/>
        </w:rPr>
      </w:pPr>
    </w:p>
    <w:p>
      <w:pPr>
        <w:ind w:left="660" w:right="3899"/>
        <w:spacing w:after="0" w:line="345" w:lineRule="auto"/>
        <w:rPr>
          <w:sz w:val="20"/>
          <w:szCs w:val="20"/>
          <w:color w:val="auto"/>
        </w:rPr>
      </w:pPr>
      <w:r>
        <w:rPr>
          <w:rFonts w:ascii="Times New Roman" w:cs="Times New Roman" w:eastAsia="Times New Roman" w:hAnsi="Times New Roman"/>
          <w:sz w:val="22"/>
          <w:szCs w:val="22"/>
          <w:u w:val="single" w:color="auto"/>
          <w:color w:val="0000FF"/>
        </w:rPr>
        <w:t>SECTION 2.4 Determination of Yield and Rate Periods.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44</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2.5 Yield, Fees and Other Costs and Expenses.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46</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2.6 Deemed Collections.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47</w:t>
      </w:r>
    </w:p>
    <w:p>
      <w:pPr>
        <w:spacing w:after="0" w:line="3" w:lineRule="exact"/>
        <w:rPr>
          <w:sz w:val="20"/>
          <w:szCs w:val="20"/>
          <w:color w:val="auto"/>
        </w:rPr>
      </w:pPr>
    </w:p>
    <w:p>
      <w:pPr>
        <w:ind w:left="660"/>
        <w:spacing w:after="0"/>
        <w:tabs>
          <w:tab w:leader="none" w:pos="2080" w:val="left"/>
          <w:tab w:leader="none" w:pos="5220" w:val="left"/>
        </w:tabs>
        <w:rPr>
          <w:sz w:val="20"/>
          <w:szCs w:val="20"/>
          <w:color w:val="auto"/>
        </w:rPr>
      </w:pPr>
      <w:r>
        <w:rPr>
          <w:rFonts w:ascii="Times New Roman" w:cs="Times New Roman" w:eastAsia="Times New Roman" w:hAnsi="Times New Roman"/>
          <w:sz w:val="22"/>
          <w:szCs w:val="22"/>
          <w:u w:val="single" w:color="auto"/>
          <w:color w:val="0000FF"/>
        </w:rPr>
        <w:t>SECTION 2.7</w:t>
      </w:r>
      <w:r>
        <w:rPr>
          <w:sz w:val="20"/>
          <w:szCs w:val="20"/>
          <w:color w:val="auto"/>
        </w:rPr>
        <w:tab/>
      </w:r>
      <w:r>
        <w:rPr>
          <w:rFonts w:ascii="Times New Roman" w:cs="Times New Roman" w:eastAsia="Times New Roman" w:hAnsi="Times New Roman"/>
          <w:sz w:val="22"/>
          <w:szCs w:val="22"/>
          <w:u w:val="single" w:color="auto"/>
          <w:color w:val="0000FF"/>
        </w:rPr>
        <w:t>Payments and Computations, Etc.</w:t>
      </w:r>
      <w:r>
        <w:rPr>
          <w:sz w:val="20"/>
          <w:szCs w:val="20"/>
          <w:color w:val="auto"/>
        </w:rPr>
        <w:tab/>
      </w:r>
      <w:r>
        <w:rPr>
          <w:rFonts w:ascii="Times New Roman" w:cs="Times New Roman" w:eastAsia="Times New Roman" w:hAnsi="Times New Roman"/>
          <w:sz w:val="22"/>
          <w:szCs w:val="22"/>
          <w:color w:val="auto"/>
        </w:rPr>
        <w:t>47</w:t>
      </w:r>
    </w:p>
    <w:p>
      <w:pPr>
        <w:spacing w:after="0" w:line="125" w:lineRule="exact"/>
        <w:rPr>
          <w:sz w:val="20"/>
          <w:szCs w:val="20"/>
          <w:color w:val="auto"/>
        </w:rPr>
      </w:pPr>
    </w:p>
    <w:p>
      <w:pPr>
        <w:ind w:left="660"/>
        <w:spacing w:after="0"/>
        <w:tabs>
          <w:tab w:leader="none" w:pos="2080" w:val="left"/>
          <w:tab w:leader="none" w:pos="3020" w:val="left"/>
        </w:tabs>
        <w:rPr>
          <w:sz w:val="20"/>
          <w:szCs w:val="20"/>
          <w:color w:val="auto"/>
        </w:rPr>
      </w:pPr>
      <w:r>
        <w:rPr>
          <w:rFonts w:ascii="Times New Roman" w:cs="Times New Roman" w:eastAsia="Times New Roman" w:hAnsi="Times New Roman"/>
          <w:sz w:val="22"/>
          <w:szCs w:val="22"/>
          <w:u w:val="single" w:color="auto"/>
          <w:color w:val="0000FF"/>
        </w:rPr>
        <w:t>SECTION 2.8</w:t>
      </w:r>
      <w:r>
        <w:rPr>
          <w:sz w:val="20"/>
          <w:szCs w:val="20"/>
          <w:color w:val="auto"/>
        </w:rPr>
        <w:tab/>
      </w:r>
      <w:r>
        <w:rPr>
          <w:rFonts w:ascii="Times New Roman" w:cs="Times New Roman" w:eastAsia="Times New Roman" w:hAnsi="Times New Roman"/>
          <w:sz w:val="22"/>
          <w:szCs w:val="22"/>
          <w:u w:val="single" w:color="auto"/>
          <w:color w:val="0000FF"/>
        </w:rPr>
        <w:t>Reports.</w:t>
      </w:r>
      <w:r>
        <w:rPr>
          <w:sz w:val="20"/>
          <w:szCs w:val="20"/>
          <w:color w:val="auto"/>
        </w:rPr>
        <w:tab/>
      </w:r>
      <w:r>
        <w:rPr>
          <w:rFonts w:ascii="Times New Roman" w:cs="Times New Roman" w:eastAsia="Times New Roman" w:hAnsi="Times New Roman"/>
          <w:sz w:val="22"/>
          <w:szCs w:val="22"/>
          <w:color w:val="auto"/>
        </w:rPr>
        <w:t>47</w:t>
      </w:r>
    </w:p>
    <w:p>
      <w:pPr>
        <w:spacing w:after="0" w:line="89"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Times New Roman" w:cs="Times New Roman" w:eastAsia="Times New Roman" w:hAnsi="Times New Roman"/>
                <w:sz w:val="22"/>
                <w:szCs w:val="22"/>
                <w:color w:val="0000FF"/>
              </w:rPr>
              <w:t xml:space="preserve">SECTION 2.9  Collection Account.  </w:t>
            </w:r>
            <w:r>
              <w:rPr>
                <w:rFonts w:ascii="Times New Roman" w:cs="Times New Roman" w:eastAsia="Times New Roman" w:hAnsi="Times New Roman"/>
                <w:sz w:val="22"/>
                <w:szCs w:val="22"/>
                <w:color w:val="000000"/>
              </w:rPr>
              <w:t>48</w:t>
            </w:r>
          </w:p>
        </w:tc>
        <w:tc>
          <w:tcPr>
            <w:tcW w:w="440" w:type="dxa"/>
            <w:vAlign w:val="bottom"/>
          </w:tcPr>
          <w:p>
            <w:pPr>
              <w:spacing w:after="0"/>
              <w:rPr>
                <w:sz w:val="21"/>
                <w:szCs w:val="21"/>
                <w:color w:val="auto"/>
              </w:rPr>
            </w:pPr>
          </w:p>
        </w:tc>
      </w:tr>
      <w:tr>
        <w:trPr>
          <w:trHeight w:val="20"/>
        </w:trPr>
        <w:tc>
          <w:tcPr>
            <w:tcW w:w="14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2.10</w:t>
            </w:r>
          </w:p>
        </w:tc>
        <w:tc>
          <w:tcPr>
            <w:tcW w:w="240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0000FF"/>
                <w:w w:val="98"/>
              </w:rPr>
              <w:t>Sharing of Payments, Etc.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45"/>
        </w:trPr>
        <w:tc>
          <w:tcPr>
            <w:tcW w:w="38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rPr>
              <w:t xml:space="preserve">SECTION 2.11  Right of Setoff.  </w:t>
            </w:r>
            <w:r>
              <w:rPr>
                <w:rFonts w:ascii="Times New Roman" w:cs="Times New Roman" w:eastAsia="Times New Roman" w:hAnsi="Times New Roman"/>
                <w:sz w:val="22"/>
                <w:szCs w:val="22"/>
                <w:color w:val="000000"/>
              </w:rPr>
              <w:t>48</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4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4"/>
        </w:trPr>
        <w:tc>
          <w:tcPr>
            <w:tcW w:w="1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2.12</w:t>
            </w:r>
          </w:p>
        </w:tc>
        <w:tc>
          <w:tcPr>
            <w:tcW w:w="2400" w:type="dxa"/>
            <w:vAlign w:val="bottom"/>
            <w:tcBorders>
              <w:bottom w:val="single" w:sz="8" w:color="0000FF"/>
            </w:tcBorders>
            <w:gridSpan w:val="4"/>
          </w:tcPr>
          <w:p>
            <w:pPr>
              <w:ind w:left="120"/>
              <w:spacing w:after="0"/>
              <w:rPr>
                <w:sz w:val="20"/>
                <w:szCs w:val="20"/>
                <w:color w:val="auto"/>
              </w:rPr>
            </w:pPr>
            <w:r>
              <w:rPr>
                <w:rFonts w:ascii="Times New Roman" w:cs="Times New Roman" w:eastAsia="Times New Roman" w:hAnsi="Times New Roman"/>
                <w:sz w:val="22"/>
                <w:szCs w:val="22"/>
                <w:color w:val="0000FF"/>
                <w:w w:val="97"/>
              </w:rPr>
              <w:t>Settlement Procedures. (a)</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6160" w:type="dxa"/>
            <w:vAlign w:val="bottom"/>
            <w:gridSpan w:val="8"/>
          </w:tcPr>
          <w:p>
            <w:pPr>
              <w:spacing w:after="0"/>
              <w:rPr>
                <w:sz w:val="20"/>
                <w:szCs w:val="20"/>
                <w:color w:val="auto"/>
              </w:rPr>
            </w:pPr>
            <w:r>
              <w:rPr>
                <w:rFonts w:ascii="Times New Roman" w:cs="Times New Roman" w:eastAsia="Times New Roman" w:hAnsi="Times New Roman"/>
                <w:sz w:val="22"/>
                <w:szCs w:val="22"/>
                <w:color w:val="0000FF"/>
              </w:rPr>
              <w:t xml:space="preserve">SECTION 2.13  Optional Reduction of Net Investment.  </w:t>
            </w:r>
            <w:r>
              <w:rPr>
                <w:rFonts w:ascii="Times New Roman" w:cs="Times New Roman" w:eastAsia="Times New Roman" w:hAnsi="Times New Roman"/>
                <w:sz w:val="22"/>
                <w:szCs w:val="22"/>
                <w:color w:val="000000"/>
              </w:rPr>
              <w:t>51</w:t>
            </w:r>
          </w:p>
        </w:tc>
      </w:tr>
      <w:tr>
        <w:trPr>
          <w:trHeight w:val="20"/>
        </w:trPr>
        <w:tc>
          <w:tcPr>
            <w:tcW w:w="14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2.14</w:t>
            </w:r>
          </w:p>
        </w:tc>
        <w:tc>
          <w:tcPr>
            <w:tcW w:w="472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0000FF"/>
                <w:w w:val="99"/>
              </w:rPr>
              <w:t xml:space="preserve">Application of Collections Distributable to SPV.  </w:t>
            </w:r>
            <w:r>
              <w:rPr>
                <w:rFonts w:ascii="Times New Roman" w:cs="Times New Roman" w:eastAsia="Times New Roman" w:hAnsi="Times New Roman"/>
                <w:sz w:val="22"/>
                <w:szCs w:val="22"/>
                <w:color w:val="000000"/>
                <w:w w:val="99"/>
              </w:rPr>
              <w:t>52</w:t>
            </w:r>
          </w:p>
        </w:tc>
      </w:tr>
      <w:tr>
        <w:trPr>
          <w:trHeight w:val="345"/>
        </w:trPr>
        <w:tc>
          <w:tcPr>
            <w:tcW w:w="14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2.15</w:t>
            </w:r>
          </w:p>
        </w:tc>
        <w:tc>
          <w:tcPr>
            <w:tcW w:w="2360" w:type="dxa"/>
            <w:vAlign w:val="bottom"/>
            <w:tcBorders>
              <w:top w:val="single" w:sz="8" w:color="0000FF"/>
              <w:bottom w:val="single" w:sz="8" w:color="0000FF"/>
            </w:tcBorders>
          </w:tcPr>
          <w:p>
            <w:pPr>
              <w:ind w:left="120"/>
              <w:spacing w:after="0"/>
              <w:rPr>
                <w:sz w:val="20"/>
                <w:szCs w:val="20"/>
                <w:color w:val="auto"/>
              </w:rPr>
            </w:pPr>
            <w:r>
              <w:rPr>
                <w:rFonts w:ascii="Times New Roman" w:cs="Times New Roman" w:eastAsia="Times New Roman" w:hAnsi="Times New Roman"/>
                <w:sz w:val="22"/>
                <w:szCs w:val="22"/>
                <w:color w:val="0000FF"/>
                <w:w w:val="97"/>
              </w:rPr>
              <w:t>Collections Held in Trust.</w:t>
            </w:r>
          </w:p>
        </w:tc>
        <w:tc>
          <w:tcPr>
            <w:tcW w:w="200" w:type="dxa"/>
            <w:vAlign w:val="bottom"/>
            <w:tcBorders>
              <w:top w:val="single" w:sz="8" w:color="0000FF"/>
            </w:tcBorders>
            <w:gridSpan w:val="3"/>
          </w:tcPr>
          <w:p>
            <w:pPr>
              <w:spacing w:after="0"/>
              <w:rPr>
                <w:sz w:val="24"/>
                <w:szCs w:val="24"/>
                <w:color w:val="auto"/>
              </w:rPr>
            </w:pPr>
          </w:p>
        </w:tc>
        <w:tc>
          <w:tcPr>
            <w:tcW w:w="920" w:type="dxa"/>
            <w:vAlign w:val="bottom"/>
            <w:tcBorders>
              <w:top w:val="single" w:sz="8" w:color="0000FF"/>
            </w:tcBorders>
          </w:tcPr>
          <w:p>
            <w:pPr>
              <w:jc w:val="right"/>
              <w:ind w:right="592"/>
              <w:spacing w:after="0"/>
              <w:rPr>
                <w:sz w:val="20"/>
                <w:szCs w:val="20"/>
                <w:color w:val="auto"/>
              </w:rPr>
            </w:pPr>
            <w:r>
              <w:rPr>
                <w:rFonts w:ascii="Times New Roman" w:cs="Times New Roman" w:eastAsia="Times New Roman" w:hAnsi="Times New Roman"/>
                <w:sz w:val="22"/>
                <w:szCs w:val="22"/>
                <w:color w:val="auto"/>
                <w:w w:val="90"/>
              </w:rPr>
              <w:t>52</w:t>
            </w:r>
          </w:p>
        </w:tc>
        <w:tc>
          <w:tcPr>
            <w:tcW w:w="8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345"/>
        </w:trPr>
        <w:tc>
          <w:tcPr>
            <w:tcW w:w="1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2.16</w:t>
            </w:r>
          </w:p>
        </w:tc>
        <w:tc>
          <w:tcPr>
            <w:tcW w:w="2540" w:type="dxa"/>
            <w:vAlign w:val="bottom"/>
            <w:tcBorders>
              <w:bottom w:val="single" w:sz="8" w:color="0000FF"/>
            </w:tcBorders>
            <w:gridSpan w:val="3"/>
          </w:tcPr>
          <w:p>
            <w:pPr>
              <w:ind w:left="120"/>
              <w:spacing w:after="0"/>
              <w:rPr>
                <w:sz w:val="20"/>
                <w:szCs w:val="20"/>
                <w:color w:val="auto"/>
              </w:rPr>
            </w:pPr>
            <w:r>
              <w:rPr>
                <w:rFonts w:ascii="Times New Roman" w:cs="Times New Roman" w:eastAsia="Times New Roman" w:hAnsi="Times New Roman"/>
                <w:sz w:val="22"/>
                <w:szCs w:val="22"/>
                <w:color w:val="0000FF"/>
                <w:w w:val="97"/>
              </w:rPr>
              <w:t>Reduction of Facility Limit.</w:t>
            </w:r>
          </w:p>
        </w:tc>
        <w:tc>
          <w:tcPr>
            <w:tcW w:w="20" w:type="dxa"/>
            <w:vAlign w:val="bottom"/>
          </w:tcPr>
          <w:p>
            <w:pPr>
              <w:spacing w:after="0"/>
              <w:rPr>
                <w:sz w:val="24"/>
                <w:szCs w:val="24"/>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52</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4"/>
        </w:trPr>
        <w:tc>
          <w:tcPr>
            <w:tcW w:w="14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2.17</w:t>
            </w:r>
          </w:p>
        </w:tc>
        <w:tc>
          <w:tcPr>
            <w:tcW w:w="2380" w:type="dxa"/>
            <w:vAlign w:val="bottom"/>
            <w:tcBorders>
              <w:bottom w:val="single" w:sz="8" w:color="0000FF"/>
            </w:tcBorders>
            <w:gridSpan w:val="2"/>
          </w:tcPr>
          <w:p>
            <w:pPr>
              <w:ind w:left="120"/>
              <w:spacing w:after="0"/>
              <w:rPr>
                <w:sz w:val="20"/>
                <w:szCs w:val="20"/>
                <w:color w:val="auto"/>
              </w:rPr>
            </w:pPr>
            <w:r>
              <w:rPr>
                <w:rFonts w:ascii="Times New Roman" w:cs="Times New Roman" w:eastAsia="Times New Roman" w:hAnsi="Times New Roman"/>
                <w:sz w:val="22"/>
                <w:szCs w:val="22"/>
                <w:color w:val="0000FF"/>
                <w:w w:val="97"/>
              </w:rPr>
              <w:t>Increase of Facility Limit.</w:t>
            </w:r>
          </w:p>
        </w:tc>
        <w:tc>
          <w:tcPr>
            <w:tcW w:w="180" w:type="dxa"/>
            <w:vAlign w:val="bottom"/>
            <w:gridSpan w:val="2"/>
          </w:tcPr>
          <w:p>
            <w:pPr>
              <w:spacing w:after="0"/>
              <w:rPr>
                <w:sz w:val="24"/>
                <w:szCs w:val="24"/>
                <w:color w:val="auto"/>
              </w:rPr>
            </w:pPr>
          </w:p>
        </w:tc>
        <w:tc>
          <w:tcPr>
            <w:tcW w:w="92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9"/>
              </w:rPr>
              <w:t>52</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000FF"/>
              </w:rPr>
              <w:t>SECTION 2.18</w:t>
            </w:r>
          </w:p>
        </w:tc>
        <w:tc>
          <w:tcPr>
            <w:tcW w:w="764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0000FF"/>
              </w:rPr>
              <w:t xml:space="preserve">Benchmark Replacement Setting  </w:t>
            </w:r>
            <w:r>
              <w:rPr>
                <w:rFonts w:ascii="Times New Roman" w:cs="Times New Roman" w:eastAsia="Times New Roman" w:hAnsi="Times New Roman"/>
                <w:sz w:val="22"/>
                <w:szCs w:val="22"/>
                <w:color w:val="000000"/>
              </w:rPr>
              <w:t>52</w:t>
            </w:r>
          </w:p>
        </w:tc>
      </w:tr>
      <w:tr>
        <w:trPr>
          <w:trHeight w:val="20"/>
        </w:trPr>
        <w:tc>
          <w:tcPr>
            <w:tcW w:w="66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9700" w:type="dxa"/>
            <w:vAlign w:val="bottom"/>
            <w:gridSpan w:val="8"/>
          </w:tcPr>
          <w:p>
            <w:pPr>
              <w:spacing w:after="0"/>
              <w:rPr>
                <w:sz w:val="20"/>
                <w:szCs w:val="20"/>
                <w:color w:val="auto"/>
              </w:rPr>
            </w:pPr>
            <w:r>
              <w:rPr>
                <w:rFonts w:ascii="Times New Roman" w:cs="Times New Roman" w:eastAsia="Times New Roman" w:hAnsi="Times New Roman"/>
                <w:sz w:val="22"/>
                <w:szCs w:val="22"/>
                <w:color w:val="0000FF"/>
              </w:rPr>
              <w:t>ARTICLE III ADDITIONAL COMMITTED INVESTOR PROVISIONS</w:t>
            </w:r>
          </w:p>
        </w:tc>
      </w:tr>
      <w:tr>
        <w:trPr>
          <w:trHeight w:val="345"/>
        </w:trPr>
        <w:tc>
          <w:tcPr>
            <w:tcW w:w="660" w:type="dxa"/>
            <w:vAlign w:val="bottom"/>
            <w:tcBorders>
              <w:top w:val="single" w:sz="8" w:color="0000FF"/>
            </w:tcBorders>
          </w:tcPr>
          <w:p>
            <w:pPr>
              <w:spacing w:after="0"/>
              <w:rPr>
                <w:sz w:val="24"/>
                <w:szCs w:val="24"/>
                <w:color w:val="auto"/>
              </w:rPr>
            </w:pPr>
          </w:p>
        </w:tc>
        <w:tc>
          <w:tcPr>
            <w:tcW w:w="1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3.1</w:t>
            </w:r>
          </w:p>
        </w:tc>
        <w:tc>
          <w:tcPr>
            <w:tcW w:w="4320" w:type="dxa"/>
            <w:vAlign w:val="bottom"/>
            <w:tcBorders>
              <w:top w:val="single" w:sz="8" w:color="0000FF"/>
            </w:tcBorders>
            <w:gridSpan w:val="4"/>
          </w:tcPr>
          <w:p>
            <w:pPr>
              <w:ind w:left="40"/>
              <w:spacing w:after="0"/>
              <w:rPr>
                <w:sz w:val="20"/>
                <w:szCs w:val="20"/>
                <w:color w:val="auto"/>
              </w:rPr>
            </w:pPr>
            <w:r>
              <w:rPr>
                <w:rFonts w:ascii="Times New Roman" w:cs="Times New Roman" w:eastAsia="Times New Roman" w:hAnsi="Times New Roman"/>
                <w:sz w:val="22"/>
                <w:szCs w:val="22"/>
                <w:color w:val="0000FF"/>
              </w:rPr>
              <w:t xml:space="preserve">Assignment to Committed Investors.  </w:t>
            </w:r>
            <w:r>
              <w:rPr>
                <w:rFonts w:ascii="Times New Roman" w:cs="Times New Roman" w:eastAsia="Times New Roman" w:hAnsi="Times New Roman"/>
                <w:sz w:val="22"/>
                <w:szCs w:val="22"/>
                <w:color w:val="000000"/>
              </w:rPr>
              <w:t>54</w:t>
            </w:r>
          </w:p>
        </w:tc>
        <w:tc>
          <w:tcPr>
            <w:tcW w:w="3320" w:type="dxa"/>
            <w:vAlign w:val="bottom"/>
            <w:gridSpan w:val="2"/>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3.2</w:t>
            </w:r>
          </w:p>
        </w:tc>
        <w:tc>
          <w:tcPr>
            <w:tcW w:w="3220" w:type="dxa"/>
            <w:vAlign w:val="bottom"/>
            <w:tcBorders>
              <w:top w:val="single" w:sz="8" w:color="0000FF"/>
            </w:tcBorders>
            <w:gridSpan w:val="3"/>
          </w:tcPr>
          <w:p>
            <w:pPr>
              <w:ind w:left="40"/>
              <w:spacing w:after="0"/>
              <w:rPr>
                <w:sz w:val="20"/>
                <w:szCs w:val="20"/>
                <w:color w:val="auto"/>
              </w:rPr>
            </w:pPr>
            <w:r>
              <w:rPr>
                <w:rFonts w:ascii="Times New Roman" w:cs="Times New Roman" w:eastAsia="Times New Roman" w:hAnsi="Times New Roman"/>
                <w:sz w:val="22"/>
                <w:szCs w:val="22"/>
                <w:color w:val="0000FF"/>
              </w:rPr>
              <w:t xml:space="preserve">[Reserved].  </w:t>
            </w:r>
            <w:r>
              <w:rPr>
                <w:rFonts w:ascii="Times New Roman" w:cs="Times New Roman" w:eastAsia="Times New Roman" w:hAnsi="Times New Roman"/>
                <w:sz w:val="22"/>
                <w:szCs w:val="22"/>
                <w:color w:val="000000"/>
              </w:rPr>
              <w:t>56</w:t>
            </w:r>
          </w:p>
        </w:tc>
        <w:tc>
          <w:tcPr>
            <w:tcW w:w="4420" w:type="dxa"/>
            <w:vAlign w:val="bottom"/>
            <w:gridSpan w:val="3"/>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22"/>
                <w:szCs w:val="22"/>
                <w:color w:val="0000FF"/>
              </w:rPr>
              <w:t>SECTION 3.3</w:t>
            </w:r>
          </w:p>
        </w:tc>
        <w:tc>
          <w:tcPr>
            <w:tcW w:w="764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0000FF"/>
                <w:w w:val="99"/>
              </w:rPr>
              <w:t xml:space="preserve">Extension of Commitment Termination Date/Non-Renewing Committed Investors.  </w:t>
            </w:r>
            <w:r>
              <w:rPr>
                <w:rFonts w:ascii="Times New Roman" w:cs="Times New Roman" w:eastAsia="Times New Roman" w:hAnsi="Times New Roman"/>
                <w:sz w:val="22"/>
                <w:szCs w:val="22"/>
                <w:color w:val="000000"/>
                <w:w w:val="99"/>
              </w:rPr>
              <w:t>56</w:t>
            </w:r>
          </w:p>
        </w:tc>
      </w:tr>
      <w:tr>
        <w:trPr>
          <w:trHeight w:val="20"/>
        </w:trPr>
        <w:tc>
          <w:tcPr>
            <w:tcW w:w="66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IV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39"/>
          </w:cols>
          <w:pgMar w:left="320" w:top="1422" w:right="1440" w:bottom="1440" w:gutter="0" w:footer="0" w:header="0"/>
        </w:sectPr>
      </w:pPr>
    </w:p>
    <w:bookmarkStart w:id="36" w:name="page37"/>
    <w:bookmarkEnd w:id="36"/>
    <w:p>
      <w:pPr>
        <w:ind w:left="660"/>
        <w:spacing w:after="0"/>
        <w:tabs>
          <w:tab w:leader="none" w:pos="2080" w:val="left"/>
          <w:tab w:leader="none" w:pos="8100" w:val="left"/>
        </w:tabs>
        <w:rPr>
          <w:sz w:val="20"/>
          <w:szCs w:val="20"/>
          <w:color w:val="auto"/>
        </w:rPr>
      </w:pPr>
      <w:r>
        <w:rPr>
          <w:rFonts w:ascii="Times New Roman" w:cs="Times New Roman" w:eastAsia="Times New Roman" w:hAnsi="Times New Roman"/>
          <w:sz w:val="22"/>
          <w:szCs w:val="22"/>
          <w:u w:val="single" w:color="auto"/>
          <w:color w:val="0000FF"/>
        </w:rPr>
        <w:t>SECTION 4.1</w:t>
      </w:r>
      <w:r>
        <w:rPr>
          <w:sz w:val="20"/>
          <w:szCs w:val="20"/>
          <w:color w:val="auto"/>
        </w:rPr>
        <w:tab/>
      </w:r>
      <w:r>
        <w:rPr>
          <w:rFonts w:ascii="Times New Roman" w:cs="Times New Roman" w:eastAsia="Times New Roman" w:hAnsi="Times New Roman"/>
          <w:sz w:val="22"/>
          <w:szCs w:val="22"/>
          <w:u w:val="single" w:color="auto"/>
          <w:color w:val="0000FF"/>
        </w:rPr>
        <w:t>Representations and Warranties of the SPV and the Initial Servicer.</w:t>
      </w:r>
      <w:r>
        <w:rPr>
          <w:sz w:val="20"/>
          <w:szCs w:val="20"/>
          <w:color w:val="auto"/>
        </w:rPr>
        <w:tab/>
      </w:r>
      <w:r>
        <w:rPr>
          <w:rFonts w:ascii="Times New Roman" w:cs="Times New Roman" w:eastAsia="Times New Roman" w:hAnsi="Times New Roman"/>
          <w:sz w:val="22"/>
          <w:szCs w:val="22"/>
          <w:color w:val="auto"/>
        </w:rPr>
        <w:t>56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V CONDITIONS PRECEDENT</w:t>
      </w:r>
    </w:p>
    <w:p>
      <w:pPr>
        <w:spacing w:after="0" w:line="112" w:lineRule="exact"/>
        <w:rPr>
          <w:sz w:val="20"/>
          <w:szCs w:val="20"/>
          <w:color w:val="auto"/>
        </w:rPr>
      </w:pPr>
    </w:p>
    <w:p>
      <w:pPr>
        <w:ind w:left="660"/>
        <w:spacing w:after="0"/>
        <w:tabs>
          <w:tab w:leader="none" w:pos="2080" w:val="left"/>
          <w:tab w:leader="none" w:pos="5160" w:val="left"/>
        </w:tabs>
        <w:rPr>
          <w:sz w:val="20"/>
          <w:szCs w:val="20"/>
          <w:color w:val="auto"/>
        </w:rPr>
      </w:pPr>
      <w:r>
        <w:rPr>
          <w:rFonts w:ascii="Times New Roman" w:cs="Times New Roman" w:eastAsia="Times New Roman" w:hAnsi="Times New Roman"/>
          <w:sz w:val="22"/>
          <w:szCs w:val="22"/>
          <w:u w:val="single" w:color="auto"/>
          <w:color w:val="0000FF"/>
        </w:rPr>
        <w:t>SECTION 5.1</w:t>
      </w:r>
      <w:r>
        <w:rPr>
          <w:sz w:val="20"/>
          <w:szCs w:val="20"/>
          <w:color w:val="auto"/>
        </w:rPr>
        <w:tab/>
      </w:r>
      <w:r>
        <w:rPr>
          <w:rFonts w:ascii="Times New Roman" w:cs="Times New Roman" w:eastAsia="Times New Roman" w:hAnsi="Times New Roman"/>
          <w:sz w:val="22"/>
          <w:szCs w:val="22"/>
          <w:u w:val="single" w:color="auto"/>
          <w:color w:val="0000FF"/>
        </w:rPr>
        <w:t>Conditions Precedent to Closing.</w:t>
      </w:r>
      <w:r>
        <w:rPr>
          <w:sz w:val="20"/>
          <w:szCs w:val="20"/>
          <w:color w:val="auto"/>
        </w:rPr>
        <w:tab/>
      </w:r>
      <w:r>
        <w:rPr>
          <w:rFonts w:ascii="Times New Roman" w:cs="Times New Roman" w:eastAsia="Times New Roman" w:hAnsi="Times New Roman"/>
          <w:sz w:val="22"/>
          <w:szCs w:val="22"/>
          <w:color w:val="auto"/>
        </w:rPr>
        <w:t>64</w:t>
      </w:r>
    </w:p>
    <w:p>
      <w:pPr>
        <w:spacing w:after="0" w:line="125" w:lineRule="exact"/>
        <w:rPr>
          <w:sz w:val="20"/>
          <w:szCs w:val="20"/>
          <w:color w:val="auto"/>
        </w:rPr>
      </w:pPr>
    </w:p>
    <w:p>
      <w:pPr>
        <w:ind w:left="660"/>
        <w:spacing w:after="0"/>
        <w:tabs>
          <w:tab w:leader="none" w:pos="2080" w:val="left"/>
          <w:tab w:leader="none" w:pos="7560" w:val="left"/>
        </w:tabs>
        <w:rPr>
          <w:sz w:val="20"/>
          <w:szCs w:val="20"/>
          <w:color w:val="auto"/>
        </w:rPr>
      </w:pPr>
      <w:r>
        <w:rPr>
          <w:rFonts w:ascii="Times New Roman" w:cs="Times New Roman" w:eastAsia="Times New Roman" w:hAnsi="Times New Roman"/>
          <w:sz w:val="22"/>
          <w:szCs w:val="22"/>
          <w:u w:val="single" w:color="auto"/>
          <w:color w:val="0000FF"/>
        </w:rPr>
        <w:t>SECTION 5.2</w:t>
      </w:r>
      <w:r>
        <w:rPr>
          <w:sz w:val="20"/>
          <w:szCs w:val="20"/>
          <w:color w:val="auto"/>
        </w:rPr>
        <w:tab/>
      </w:r>
      <w:r>
        <w:rPr>
          <w:rFonts w:ascii="Times New Roman" w:cs="Times New Roman" w:eastAsia="Times New Roman" w:hAnsi="Times New Roman"/>
          <w:sz w:val="22"/>
          <w:szCs w:val="22"/>
          <w:u w:val="single" w:color="auto"/>
          <w:color w:val="0000FF"/>
        </w:rPr>
        <w:t>Conditions Precedent to All Investments and Reinvestments.</w:t>
      </w:r>
      <w:r>
        <w:rPr>
          <w:sz w:val="20"/>
          <w:szCs w:val="20"/>
          <w:color w:val="auto"/>
        </w:rPr>
        <w:tab/>
      </w:r>
      <w:r>
        <w:rPr>
          <w:rFonts w:ascii="Times New Roman" w:cs="Times New Roman" w:eastAsia="Times New Roman" w:hAnsi="Times New Roman"/>
          <w:sz w:val="19"/>
          <w:szCs w:val="19"/>
          <w:color w:val="auto"/>
        </w:rPr>
        <w:t>67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VI COVENANTS</w:t>
      </w:r>
    </w:p>
    <w:p>
      <w:pPr>
        <w:spacing w:after="0" w:line="112" w:lineRule="exact"/>
        <w:rPr>
          <w:sz w:val="20"/>
          <w:szCs w:val="20"/>
          <w:color w:val="auto"/>
        </w:rPr>
      </w:pPr>
    </w:p>
    <w:p>
      <w:pPr>
        <w:ind w:left="660" w:right="3439"/>
        <w:spacing w:after="0" w:line="345" w:lineRule="auto"/>
        <w:rPr>
          <w:sz w:val="20"/>
          <w:szCs w:val="20"/>
          <w:color w:val="auto"/>
        </w:rPr>
      </w:pPr>
      <w:r>
        <w:rPr>
          <w:rFonts w:ascii="Times New Roman" w:cs="Times New Roman" w:eastAsia="Times New Roman" w:hAnsi="Times New Roman"/>
          <w:sz w:val="22"/>
          <w:szCs w:val="22"/>
          <w:u w:val="single" w:color="auto"/>
          <w:color w:val="0000FF"/>
        </w:rPr>
        <w:t>SECTION 6.1 Affirmative Covenants of the SPV and Servicer.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68</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6.2 Negative Covenants of the SPV and Servicer.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73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VII ADMINISTRATION AND COLLECTIONS</w:t>
      </w:r>
    </w:p>
    <w:p>
      <w:pPr>
        <w:spacing w:after="0" w:line="125" w:lineRule="exact"/>
        <w:rPr>
          <w:sz w:val="20"/>
          <w:szCs w:val="20"/>
          <w:color w:val="auto"/>
        </w:rPr>
      </w:pPr>
    </w:p>
    <w:p>
      <w:pPr>
        <w:ind w:left="660"/>
        <w:spacing w:after="0"/>
        <w:tabs>
          <w:tab w:leader="none" w:pos="2080" w:val="left"/>
          <w:tab w:leader="none" w:pos="4500" w:val="left"/>
        </w:tabs>
        <w:rPr>
          <w:sz w:val="20"/>
          <w:szCs w:val="20"/>
          <w:color w:val="auto"/>
        </w:rPr>
      </w:pPr>
      <w:r>
        <w:rPr>
          <w:rFonts w:ascii="Times New Roman" w:cs="Times New Roman" w:eastAsia="Times New Roman" w:hAnsi="Times New Roman"/>
          <w:sz w:val="22"/>
          <w:szCs w:val="22"/>
          <w:u w:val="single" w:color="auto"/>
          <w:color w:val="0000FF"/>
        </w:rPr>
        <w:t>SECTION 7.1</w:t>
      </w:r>
      <w:r>
        <w:rPr>
          <w:sz w:val="20"/>
          <w:szCs w:val="20"/>
          <w:color w:val="auto"/>
        </w:rPr>
        <w:tab/>
      </w:r>
      <w:r>
        <w:rPr>
          <w:rFonts w:ascii="Times New Roman" w:cs="Times New Roman" w:eastAsia="Times New Roman" w:hAnsi="Times New Roman"/>
          <w:sz w:val="22"/>
          <w:szCs w:val="22"/>
          <w:u w:val="single" w:color="auto"/>
          <w:color w:val="0000FF"/>
        </w:rPr>
        <w:t>Appointment of Servicer.</w:t>
      </w:r>
      <w:r>
        <w:rPr>
          <w:sz w:val="20"/>
          <w:szCs w:val="20"/>
          <w:color w:val="auto"/>
        </w:rPr>
        <w:tab/>
      </w:r>
      <w:r>
        <w:rPr>
          <w:rFonts w:ascii="Times New Roman" w:cs="Times New Roman" w:eastAsia="Times New Roman" w:hAnsi="Times New Roman"/>
          <w:sz w:val="19"/>
          <w:szCs w:val="19"/>
          <w:color w:val="auto"/>
        </w:rPr>
        <w:t>76</w:t>
      </w:r>
    </w:p>
    <w:p>
      <w:pPr>
        <w:spacing w:after="0" w:line="112" w:lineRule="exact"/>
        <w:rPr>
          <w:sz w:val="20"/>
          <w:szCs w:val="20"/>
          <w:color w:val="auto"/>
        </w:rPr>
      </w:pPr>
    </w:p>
    <w:p>
      <w:pPr>
        <w:ind w:left="660"/>
        <w:spacing w:after="0"/>
        <w:tabs>
          <w:tab w:leader="none" w:pos="2080" w:val="left"/>
          <w:tab w:leader="none" w:pos="3920" w:val="left"/>
        </w:tabs>
        <w:rPr>
          <w:sz w:val="20"/>
          <w:szCs w:val="20"/>
          <w:color w:val="auto"/>
        </w:rPr>
      </w:pPr>
      <w:r>
        <w:rPr>
          <w:rFonts w:ascii="Times New Roman" w:cs="Times New Roman" w:eastAsia="Times New Roman" w:hAnsi="Times New Roman"/>
          <w:sz w:val="22"/>
          <w:szCs w:val="22"/>
          <w:u w:val="single" w:color="auto"/>
          <w:color w:val="0000FF"/>
        </w:rPr>
        <w:t>SECTION 7.2</w:t>
      </w:r>
      <w:r>
        <w:rPr>
          <w:sz w:val="20"/>
          <w:szCs w:val="20"/>
          <w:color w:val="auto"/>
        </w:rPr>
        <w:tab/>
      </w:r>
      <w:r>
        <w:rPr>
          <w:rFonts w:ascii="Times New Roman" w:cs="Times New Roman" w:eastAsia="Times New Roman" w:hAnsi="Times New Roman"/>
          <w:sz w:val="22"/>
          <w:szCs w:val="22"/>
          <w:u w:val="single" w:color="auto"/>
          <w:color w:val="0000FF"/>
        </w:rPr>
        <w:t>Duties of Servicer.</w:t>
      </w:r>
      <w:r>
        <w:rPr>
          <w:sz w:val="20"/>
          <w:szCs w:val="20"/>
          <w:color w:val="auto"/>
        </w:rPr>
        <w:tab/>
      </w:r>
      <w:r>
        <w:rPr>
          <w:rFonts w:ascii="Times New Roman" w:cs="Times New Roman" w:eastAsia="Times New Roman" w:hAnsi="Times New Roman"/>
          <w:sz w:val="22"/>
          <w:szCs w:val="22"/>
          <w:color w:val="auto"/>
        </w:rPr>
        <w:t>77</w:t>
      </w:r>
    </w:p>
    <w:p>
      <w:pPr>
        <w:spacing w:after="0" w:line="112" w:lineRule="exact"/>
        <w:rPr>
          <w:sz w:val="20"/>
          <w:szCs w:val="20"/>
          <w:color w:val="auto"/>
        </w:rPr>
      </w:pPr>
    </w:p>
    <w:p>
      <w:pPr>
        <w:ind w:left="660"/>
        <w:spacing w:after="0"/>
        <w:tabs>
          <w:tab w:leader="none" w:pos="2080" w:val="left"/>
          <w:tab w:leader="none" w:pos="5140" w:val="left"/>
        </w:tabs>
        <w:rPr>
          <w:sz w:val="20"/>
          <w:szCs w:val="20"/>
          <w:color w:val="auto"/>
        </w:rPr>
      </w:pPr>
      <w:r>
        <w:rPr>
          <w:rFonts w:ascii="Times New Roman" w:cs="Times New Roman" w:eastAsia="Times New Roman" w:hAnsi="Times New Roman"/>
          <w:sz w:val="22"/>
          <w:szCs w:val="22"/>
          <w:u w:val="single" w:color="auto"/>
          <w:color w:val="0000FF"/>
        </w:rPr>
        <w:t>SECTION 7.3</w:t>
      </w:r>
      <w:r>
        <w:rPr>
          <w:sz w:val="20"/>
          <w:szCs w:val="20"/>
          <w:color w:val="auto"/>
        </w:rPr>
        <w:tab/>
      </w:r>
      <w:r>
        <w:rPr>
          <w:rFonts w:ascii="Times New Roman" w:cs="Times New Roman" w:eastAsia="Times New Roman" w:hAnsi="Times New Roman"/>
          <w:sz w:val="22"/>
          <w:szCs w:val="22"/>
          <w:u w:val="single" w:color="auto"/>
          <w:color w:val="0000FF"/>
        </w:rPr>
        <w:t>Blocked Account Arrangements.</w:t>
      </w:r>
      <w:r>
        <w:rPr>
          <w:sz w:val="20"/>
          <w:szCs w:val="20"/>
          <w:color w:val="auto"/>
        </w:rPr>
        <w:tab/>
      </w:r>
      <w:r>
        <w:rPr>
          <w:rFonts w:ascii="Times New Roman" w:cs="Times New Roman" w:eastAsia="Times New Roman" w:hAnsi="Times New Roman"/>
          <w:sz w:val="22"/>
          <w:szCs w:val="22"/>
          <w:color w:val="auto"/>
        </w:rPr>
        <w:t>78</w:t>
      </w:r>
    </w:p>
    <w:p>
      <w:pPr>
        <w:spacing w:after="0" w:line="112" w:lineRule="exact"/>
        <w:rPr>
          <w:sz w:val="20"/>
          <w:szCs w:val="20"/>
          <w:color w:val="auto"/>
        </w:rPr>
      </w:pPr>
    </w:p>
    <w:p>
      <w:pPr>
        <w:ind w:left="660"/>
        <w:spacing w:after="0"/>
        <w:tabs>
          <w:tab w:leader="none" w:pos="2080" w:val="left"/>
          <w:tab w:leader="none" w:pos="4100" w:val="left"/>
        </w:tabs>
        <w:rPr>
          <w:sz w:val="20"/>
          <w:szCs w:val="20"/>
          <w:color w:val="auto"/>
        </w:rPr>
      </w:pPr>
      <w:r>
        <w:rPr>
          <w:rFonts w:ascii="Times New Roman" w:cs="Times New Roman" w:eastAsia="Times New Roman" w:hAnsi="Times New Roman"/>
          <w:sz w:val="22"/>
          <w:szCs w:val="22"/>
          <w:u w:val="single" w:color="auto"/>
          <w:color w:val="0000FF"/>
        </w:rPr>
        <w:t>SECTION 7.4</w:t>
      </w:r>
      <w:r>
        <w:rPr>
          <w:sz w:val="20"/>
          <w:szCs w:val="20"/>
          <w:color w:val="auto"/>
        </w:rPr>
        <w:tab/>
      </w:r>
      <w:r>
        <w:rPr>
          <w:rFonts w:ascii="Times New Roman" w:cs="Times New Roman" w:eastAsia="Times New Roman" w:hAnsi="Times New Roman"/>
          <w:sz w:val="22"/>
          <w:szCs w:val="22"/>
          <w:u w:val="single" w:color="auto"/>
          <w:color w:val="0000FF"/>
        </w:rPr>
        <w:t>Enforcement Rights.</w:t>
      </w:r>
      <w:r>
        <w:rPr>
          <w:sz w:val="20"/>
          <w:szCs w:val="20"/>
          <w:color w:val="auto"/>
        </w:rPr>
        <w:tab/>
      </w:r>
      <w:r>
        <w:rPr>
          <w:rFonts w:ascii="Times New Roman" w:cs="Times New Roman" w:eastAsia="Times New Roman" w:hAnsi="Times New Roman"/>
          <w:sz w:val="19"/>
          <w:szCs w:val="19"/>
          <w:color w:val="auto"/>
        </w:rPr>
        <w:t>78</w:t>
      </w:r>
    </w:p>
    <w:p>
      <w:pPr>
        <w:spacing w:after="0" w:line="112" w:lineRule="exact"/>
        <w:rPr>
          <w:sz w:val="20"/>
          <w:szCs w:val="20"/>
          <w:color w:val="auto"/>
        </w:rPr>
      </w:pPr>
    </w:p>
    <w:p>
      <w:pPr>
        <w:ind w:left="660"/>
        <w:spacing w:after="0"/>
        <w:tabs>
          <w:tab w:leader="none" w:pos="2080" w:val="left"/>
          <w:tab w:leader="none" w:pos="3780" w:val="left"/>
        </w:tabs>
        <w:rPr>
          <w:sz w:val="20"/>
          <w:szCs w:val="20"/>
          <w:color w:val="auto"/>
        </w:rPr>
      </w:pPr>
      <w:r>
        <w:rPr>
          <w:rFonts w:ascii="Times New Roman" w:cs="Times New Roman" w:eastAsia="Times New Roman" w:hAnsi="Times New Roman"/>
          <w:sz w:val="22"/>
          <w:szCs w:val="22"/>
          <w:u w:val="single" w:color="auto"/>
          <w:color w:val="0000FF"/>
        </w:rPr>
        <w:t>SECTION 7.5</w:t>
      </w:r>
      <w:r>
        <w:rPr>
          <w:sz w:val="20"/>
          <w:szCs w:val="20"/>
          <w:color w:val="auto"/>
        </w:rPr>
        <w:tab/>
      </w:r>
      <w:r>
        <w:rPr>
          <w:rFonts w:ascii="Times New Roman" w:cs="Times New Roman" w:eastAsia="Times New Roman" w:hAnsi="Times New Roman"/>
          <w:sz w:val="22"/>
          <w:szCs w:val="22"/>
          <w:u w:val="single" w:color="auto"/>
          <w:color w:val="0000FF"/>
        </w:rPr>
        <w:t>Servicer Default.</w:t>
      </w:r>
      <w:r>
        <w:rPr>
          <w:sz w:val="20"/>
          <w:szCs w:val="20"/>
          <w:color w:val="auto"/>
        </w:rPr>
        <w:tab/>
      </w:r>
      <w:r>
        <w:rPr>
          <w:rFonts w:ascii="Times New Roman" w:cs="Times New Roman" w:eastAsia="Times New Roman" w:hAnsi="Times New Roman"/>
          <w:sz w:val="22"/>
          <w:szCs w:val="22"/>
          <w:color w:val="auto"/>
        </w:rPr>
        <w:t>79</w:t>
      </w:r>
    </w:p>
    <w:p>
      <w:pPr>
        <w:spacing w:after="0" w:line="112" w:lineRule="exact"/>
        <w:rPr>
          <w:sz w:val="20"/>
          <w:szCs w:val="20"/>
          <w:color w:val="auto"/>
        </w:rPr>
      </w:pPr>
    </w:p>
    <w:p>
      <w:pPr>
        <w:ind w:left="660"/>
        <w:spacing w:after="0"/>
        <w:tabs>
          <w:tab w:leader="none" w:pos="2080" w:val="left"/>
          <w:tab w:leader="none" w:pos="3560" w:val="left"/>
        </w:tabs>
        <w:rPr>
          <w:sz w:val="20"/>
          <w:szCs w:val="20"/>
          <w:color w:val="auto"/>
        </w:rPr>
      </w:pPr>
      <w:r>
        <w:rPr>
          <w:rFonts w:ascii="Times New Roman" w:cs="Times New Roman" w:eastAsia="Times New Roman" w:hAnsi="Times New Roman"/>
          <w:sz w:val="22"/>
          <w:szCs w:val="22"/>
          <w:u w:val="single" w:color="auto"/>
          <w:color w:val="0000FF"/>
        </w:rPr>
        <w:t>SECTION 7.6</w:t>
      </w:r>
      <w:r>
        <w:rPr>
          <w:sz w:val="20"/>
          <w:szCs w:val="20"/>
          <w:color w:val="auto"/>
        </w:rPr>
        <w:tab/>
      </w:r>
      <w:r>
        <w:rPr>
          <w:rFonts w:ascii="Times New Roman" w:cs="Times New Roman" w:eastAsia="Times New Roman" w:hAnsi="Times New Roman"/>
          <w:sz w:val="22"/>
          <w:szCs w:val="22"/>
          <w:u w:val="single" w:color="auto"/>
          <w:color w:val="0000FF"/>
        </w:rPr>
        <w:t>Servicing Fee.</w:t>
      </w:r>
      <w:r>
        <w:rPr>
          <w:sz w:val="20"/>
          <w:szCs w:val="20"/>
          <w:color w:val="auto"/>
        </w:rPr>
        <w:tab/>
      </w:r>
      <w:r>
        <w:rPr>
          <w:rFonts w:ascii="Times New Roman" w:cs="Times New Roman" w:eastAsia="Times New Roman" w:hAnsi="Times New Roman"/>
          <w:sz w:val="19"/>
          <w:szCs w:val="19"/>
          <w:color w:val="auto"/>
        </w:rPr>
        <w:t>81</w:t>
      </w:r>
    </w:p>
    <w:p>
      <w:pPr>
        <w:spacing w:after="0" w:line="125" w:lineRule="exact"/>
        <w:rPr>
          <w:sz w:val="20"/>
          <w:szCs w:val="20"/>
          <w:color w:val="auto"/>
        </w:rPr>
      </w:pPr>
    </w:p>
    <w:p>
      <w:pPr>
        <w:ind w:left="660"/>
        <w:spacing w:after="0"/>
        <w:tabs>
          <w:tab w:leader="none" w:pos="2080" w:val="left"/>
          <w:tab w:leader="none" w:pos="6580" w:val="left"/>
        </w:tabs>
        <w:rPr>
          <w:sz w:val="20"/>
          <w:szCs w:val="20"/>
          <w:color w:val="auto"/>
        </w:rPr>
      </w:pPr>
      <w:r>
        <w:rPr>
          <w:rFonts w:ascii="Times New Roman" w:cs="Times New Roman" w:eastAsia="Times New Roman" w:hAnsi="Times New Roman"/>
          <w:sz w:val="22"/>
          <w:szCs w:val="22"/>
          <w:u w:val="single" w:color="auto"/>
          <w:color w:val="0000FF"/>
        </w:rPr>
        <w:t>SECTION 7.7</w:t>
      </w:r>
      <w:r>
        <w:rPr>
          <w:sz w:val="20"/>
          <w:szCs w:val="20"/>
          <w:color w:val="auto"/>
        </w:rPr>
        <w:tab/>
      </w:r>
      <w:r>
        <w:rPr>
          <w:rFonts w:ascii="Times New Roman" w:cs="Times New Roman" w:eastAsia="Times New Roman" w:hAnsi="Times New Roman"/>
          <w:sz w:val="22"/>
          <w:szCs w:val="22"/>
          <w:u w:val="single" w:color="auto"/>
          <w:color w:val="0000FF"/>
        </w:rPr>
        <w:t>Protection of Ownership Interest of the Investors.</w:t>
      </w:r>
      <w:r>
        <w:rPr>
          <w:sz w:val="20"/>
          <w:szCs w:val="20"/>
          <w:color w:val="auto"/>
        </w:rPr>
        <w:tab/>
      </w:r>
      <w:r>
        <w:rPr>
          <w:rFonts w:ascii="Times New Roman" w:cs="Times New Roman" w:eastAsia="Times New Roman" w:hAnsi="Times New Roman"/>
          <w:sz w:val="22"/>
          <w:szCs w:val="22"/>
          <w:color w:val="auto"/>
        </w:rPr>
        <w:t>81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VIII TERMINATION EVENTS</w:t>
      </w:r>
    </w:p>
    <w:p>
      <w:pPr>
        <w:spacing w:after="0" w:line="112" w:lineRule="exact"/>
        <w:rPr>
          <w:sz w:val="20"/>
          <w:szCs w:val="20"/>
          <w:color w:val="auto"/>
        </w:rPr>
      </w:pPr>
    </w:p>
    <w:p>
      <w:pPr>
        <w:ind w:left="660"/>
        <w:spacing w:after="0"/>
        <w:tabs>
          <w:tab w:leader="none" w:pos="2080" w:val="left"/>
          <w:tab w:leader="none" w:pos="4060" w:val="left"/>
        </w:tabs>
        <w:rPr>
          <w:sz w:val="20"/>
          <w:szCs w:val="20"/>
          <w:color w:val="auto"/>
        </w:rPr>
      </w:pPr>
      <w:r>
        <w:rPr>
          <w:rFonts w:ascii="Times New Roman" w:cs="Times New Roman" w:eastAsia="Times New Roman" w:hAnsi="Times New Roman"/>
          <w:sz w:val="22"/>
          <w:szCs w:val="22"/>
          <w:u w:val="single" w:color="auto"/>
          <w:color w:val="0000FF"/>
        </w:rPr>
        <w:t>SECTION 8.1</w:t>
      </w:r>
      <w:r>
        <w:rPr>
          <w:sz w:val="20"/>
          <w:szCs w:val="20"/>
          <w:color w:val="auto"/>
        </w:rPr>
        <w:tab/>
      </w:r>
      <w:r>
        <w:rPr>
          <w:rFonts w:ascii="Times New Roman" w:cs="Times New Roman" w:eastAsia="Times New Roman" w:hAnsi="Times New Roman"/>
          <w:sz w:val="22"/>
          <w:szCs w:val="22"/>
          <w:u w:val="single" w:color="auto"/>
          <w:color w:val="0000FF"/>
        </w:rPr>
        <w:t>Termination Events.</w:t>
      </w:r>
      <w:r>
        <w:rPr>
          <w:sz w:val="20"/>
          <w:szCs w:val="20"/>
          <w:color w:val="auto"/>
        </w:rPr>
        <w:tab/>
      </w:r>
      <w:r>
        <w:rPr>
          <w:rFonts w:ascii="Times New Roman" w:cs="Times New Roman" w:eastAsia="Times New Roman" w:hAnsi="Times New Roman"/>
          <w:sz w:val="19"/>
          <w:szCs w:val="19"/>
          <w:color w:val="auto"/>
        </w:rPr>
        <w:t>82</w:t>
      </w:r>
    </w:p>
    <w:p>
      <w:pPr>
        <w:spacing w:after="0" w:line="112" w:lineRule="exact"/>
        <w:rPr>
          <w:sz w:val="20"/>
          <w:szCs w:val="20"/>
          <w:color w:val="auto"/>
        </w:rPr>
      </w:pPr>
    </w:p>
    <w:p>
      <w:pPr>
        <w:ind w:left="660"/>
        <w:spacing w:after="0"/>
        <w:tabs>
          <w:tab w:leader="none" w:pos="2080" w:val="left"/>
          <w:tab w:leader="none" w:pos="3420" w:val="left"/>
        </w:tabs>
        <w:rPr>
          <w:sz w:val="20"/>
          <w:szCs w:val="20"/>
          <w:color w:val="auto"/>
        </w:rPr>
      </w:pPr>
      <w:r>
        <w:rPr>
          <w:rFonts w:ascii="Times New Roman" w:cs="Times New Roman" w:eastAsia="Times New Roman" w:hAnsi="Times New Roman"/>
          <w:sz w:val="22"/>
          <w:szCs w:val="22"/>
          <w:u w:val="single" w:color="auto"/>
          <w:color w:val="0000FF"/>
        </w:rPr>
        <w:t>SECTION 8.2</w:t>
      </w:r>
      <w:r>
        <w:rPr>
          <w:sz w:val="20"/>
          <w:szCs w:val="20"/>
          <w:color w:val="auto"/>
        </w:rPr>
        <w:tab/>
      </w:r>
      <w:r>
        <w:rPr>
          <w:rFonts w:ascii="Times New Roman" w:cs="Times New Roman" w:eastAsia="Times New Roman" w:hAnsi="Times New Roman"/>
          <w:sz w:val="22"/>
          <w:szCs w:val="22"/>
          <w:u w:val="single" w:color="auto"/>
          <w:color w:val="0000FF"/>
        </w:rPr>
        <w:t>Termination.</w:t>
      </w:r>
      <w:r>
        <w:rPr>
          <w:sz w:val="20"/>
          <w:szCs w:val="20"/>
          <w:color w:val="auto"/>
        </w:rPr>
        <w:tab/>
      </w:r>
      <w:r>
        <w:rPr>
          <w:rFonts w:ascii="Times New Roman" w:cs="Times New Roman" w:eastAsia="Times New Roman" w:hAnsi="Times New Roman"/>
          <w:sz w:val="19"/>
          <w:szCs w:val="19"/>
          <w:color w:val="auto"/>
        </w:rPr>
        <w:t>84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IX INDEMNIFICATION; EXPENSES; RELATED MATTERS</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9.1</w:t>
            </w: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0000FF"/>
              </w:rPr>
              <w:t xml:space="preserve">Indemnities by the SPV.  </w:t>
            </w:r>
            <w:r>
              <w:rPr>
                <w:rFonts w:ascii="Times New Roman" w:cs="Times New Roman" w:eastAsia="Times New Roman" w:hAnsi="Times New Roman"/>
                <w:sz w:val="22"/>
                <w:szCs w:val="22"/>
                <w:color w:val="000000"/>
              </w:rPr>
              <w:t>84</w:t>
            </w:r>
          </w:p>
        </w:tc>
      </w:tr>
      <w:tr>
        <w:trPr>
          <w:trHeight w:val="20"/>
        </w:trPr>
        <w:tc>
          <w:tcPr>
            <w:tcW w:w="13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9.2</w:t>
            </w: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0000FF"/>
              </w:rPr>
              <w:t xml:space="preserve">Indemnities by the Servicer.  </w:t>
            </w:r>
            <w:r>
              <w:rPr>
                <w:rFonts w:ascii="Times New Roman" w:cs="Times New Roman" w:eastAsia="Times New Roman" w:hAnsi="Times New Roman"/>
                <w:sz w:val="22"/>
                <w:szCs w:val="22"/>
                <w:color w:val="000000"/>
              </w:rPr>
              <w:t>86</w:t>
            </w:r>
          </w:p>
        </w:tc>
      </w:tr>
      <w:tr>
        <w:trPr>
          <w:trHeight w:val="20"/>
        </w:trPr>
        <w:tc>
          <w:tcPr>
            <w:tcW w:w="134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9.3</w:t>
            </w: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0000FF"/>
                <w:w w:val="99"/>
              </w:rPr>
              <w:t xml:space="preserve">Indemnity for Taxes, Reserves and Expenses.  </w:t>
            </w:r>
            <w:r>
              <w:rPr>
                <w:rFonts w:ascii="Times New Roman" w:cs="Times New Roman" w:eastAsia="Times New Roman" w:hAnsi="Times New Roman"/>
                <w:sz w:val="22"/>
                <w:szCs w:val="22"/>
                <w:color w:val="000000"/>
                <w:w w:val="99"/>
              </w:rPr>
              <w:t>87</w:t>
            </w:r>
          </w:p>
        </w:tc>
      </w:tr>
      <w:tr>
        <w:trPr>
          <w:trHeight w:val="20"/>
        </w:trPr>
        <w:tc>
          <w:tcPr>
            <w:tcW w:w="13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9.4</w:t>
            </w:r>
          </w:p>
        </w:tc>
        <w:tc>
          <w:tcPr>
            <w:tcW w:w="21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0000FF"/>
              </w:rPr>
              <w:t xml:space="preserve">Taxes.  </w:t>
            </w:r>
            <w:r>
              <w:rPr>
                <w:rFonts w:ascii="Times New Roman" w:cs="Times New Roman" w:eastAsia="Times New Roman" w:hAnsi="Times New Roman"/>
                <w:sz w:val="22"/>
                <w:szCs w:val="22"/>
                <w:color w:val="000000"/>
              </w:rPr>
              <w:t>90</w:t>
            </w:r>
          </w:p>
        </w:tc>
        <w:tc>
          <w:tcPr>
            <w:tcW w:w="1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4"/>
        </w:trPr>
        <w:tc>
          <w:tcPr>
            <w:tcW w:w="660" w:type="dxa"/>
            <w:vAlign w:val="bottom"/>
          </w:tcPr>
          <w:p>
            <w:pPr>
              <w:spacing w:after="0"/>
              <w:rPr>
                <w:sz w:val="24"/>
                <w:szCs w:val="24"/>
                <w:color w:val="auto"/>
              </w:rPr>
            </w:pPr>
          </w:p>
        </w:tc>
        <w:tc>
          <w:tcPr>
            <w:tcW w:w="5320" w:type="dxa"/>
            <w:vAlign w:val="bottom"/>
            <w:gridSpan w:val="10"/>
          </w:tcPr>
          <w:p>
            <w:pPr>
              <w:spacing w:after="0"/>
              <w:rPr>
                <w:sz w:val="20"/>
                <w:szCs w:val="20"/>
                <w:color w:val="auto"/>
              </w:rPr>
            </w:pPr>
            <w:r>
              <w:rPr>
                <w:rFonts w:ascii="Times New Roman" w:cs="Times New Roman" w:eastAsia="Times New Roman" w:hAnsi="Times New Roman"/>
                <w:sz w:val="22"/>
                <w:szCs w:val="22"/>
                <w:color w:val="0000FF"/>
              </w:rPr>
              <w:t xml:space="preserve">SECTION 9.5  Status of Investors.  </w:t>
            </w:r>
            <w:r>
              <w:rPr>
                <w:rFonts w:ascii="Times New Roman" w:cs="Times New Roman" w:eastAsia="Times New Roman" w:hAnsi="Times New Roman"/>
                <w:sz w:val="22"/>
                <w:szCs w:val="22"/>
                <w:color w:val="000000"/>
              </w:rPr>
              <w:t>91</w:t>
            </w:r>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9.6</w:t>
            </w:r>
          </w:p>
        </w:tc>
        <w:tc>
          <w:tcPr>
            <w:tcW w:w="398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0000FF"/>
              </w:rPr>
              <w:t>Other Costs and Expenses; Breakage Costs.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344"/>
        </w:trPr>
        <w:tc>
          <w:tcPr>
            <w:tcW w:w="660" w:type="dxa"/>
            <w:vAlign w:val="bottom"/>
          </w:tcPr>
          <w:p>
            <w:pPr>
              <w:spacing w:after="0"/>
              <w:rPr>
                <w:sz w:val="24"/>
                <w:szCs w:val="24"/>
                <w:color w:val="auto"/>
              </w:rPr>
            </w:pPr>
          </w:p>
        </w:tc>
        <w:tc>
          <w:tcPr>
            <w:tcW w:w="13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9.7</w:t>
            </w:r>
          </w:p>
        </w:tc>
        <w:tc>
          <w:tcPr>
            <w:tcW w:w="2140" w:type="dxa"/>
            <w:vAlign w:val="bottom"/>
            <w:tcBorders>
              <w:top w:val="single" w:sz="8" w:color="0000FF"/>
              <w:bottom w:val="single" w:sz="8" w:color="0000FF"/>
            </w:tcBorders>
            <w:gridSpan w:val="6"/>
          </w:tcPr>
          <w:p>
            <w:pPr>
              <w:ind w:left="100"/>
              <w:spacing w:after="0"/>
              <w:rPr>
                <w:sz w:val="20"/>
                <w:szCs w:val="20"/>
                <w:color w:val="auto"/>
              </w:rPr>
            </w:pPr>
            <w:r>
              <w:rPr>
                <w:rFonts w:ascii="Times New Roman" w:cs="Times New Roman" w:eastAsia="Times New Roman" w:hAnsi="Times New Roman"/>
                <w:sz w:val="22"/>
                <w:szCs w:val="22"/>
                <w:color w:val="0000FF"/>
                <w:w w:val="97"/>
              </w:rPr>
              <w:t>Mitigation Obligations.</w:t>
            </w:r>
          </w:p>
        </w:tc>
        <w:tc>
          <w:tcPr>
            <w:tcW w:w="1700" w:type="dxa"/>
            <w:vAlign w:val="bottom"/>
            <w:tcBorders>
              <w:top w:val="single" w:sz="8" w:color="0000FF"/>
            </w:tcBorders>
          </w:tcPr>
          <w:p>
            <w:pPr>
              <w:jc w:val="right"/>
              <w:ind w:right="1172"/>
              <w:spacing w:after="0"/>
              <w:rPr>
                <w:sz w:val="20"/>
                <w:szCs w:val="20"/>
                <w:color w:val="auto"/>
              </w:rPr>
            </w:pPr>
            <w:r>
              <w:rPr>
                <w:rFonts w:ascii="Times New Roman" w:cs="Times New Roman" w:eastAsia="Times New Roman" w:hAnsi="Times New Roman"/>
                <w:sz w:val="22"/>
                <w:szCs w:val="22"/>
                <w:color w:val="auto"/>
              </w:rPr>
              <w:t>93</w:t>
            </w: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22"/>
                <w:szCs w:val="22"/>
                <w:color w:val="0000FF"/>
              </w:rPr>
              <w:t>SECTION 9.8</w:t>
            </w:r>
          </w:p>
        </w:tc>
        <w:tc>
          <w:tcPr>
            <w:tcW w:w="21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0000FF"/>
              </w:rPr>
              <w:t>FATCA Compliance.</w:t>
            </w:r>
          </w:p>
        </w:tc>
        <w:tc>
          <w:tcPr>
            <w:tcW w:w="170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w w:val="90"/>
              </w:rPr>
              <w:t>93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5"/>
        </w:trPr>
        <w:tc>
          <w:tcPr>
            <w:tcW w:w="2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2"/>
                <w:szCs w:val="22"/>
                <w:color w:val="0000FF"/>
                <w:w w:val="97"/>
              </w:rPr>
              <w:t>ARTICLE X THE AGENT</w:t>
            </w:r>
          </w:p>
        </w:tc>
        <w:tc>
          <w:tcPr>
            <w:tcW w:w="1760" w:type="dxa"/>
            <w:vAlign w:val="bottom"/>
            <w:gridSpan w:val="5"/>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45"/>
        </w:trPr>
        <w:tc>
          <w:tcPr>
            <w:tcW w:w="660" w:type="dxa"/>
            <w:vAlign w:val="bottom"/>
          </w:tcPr>
          <w:p>
            <w:pPr>
              <w:spacing w:after="0"/>
              <w:rPr>
                <w:sz w:val="24"/>
                <w:szCs w:val="24"/>
                <w:color w:val="auto"/>
              </w:rPr>
            </w:pPr>
          </w:p>
        </w:tc>
        <w:tc>
          <w:tcPr>
            <w:tcW w:w="5660" w:type="dxa"/>
            <w:vAlign w:val="bottom"/>
            <w:gridSpan w:val="11"/>
          </w:tcPr>
          <w:p>
            <w:pPr>
              <w:spacing w:after="0"/>
              <w:rPr>
                <w:sz w:val="20"/>
                <w:szCs w:val="20"/>
                <w:color w:val="auto"/>
              </w:rPr>
            </w:pPr>
            <w:r>
              <w:rPr>
                <w:rFonts w:ascii="Times New Roman" w:cs="Times New Roman" w:eastAsia="Times New Roman" w:hAnsi="Times New Roman"/>
                <w:sz w:val="22"/>
                <w:szCs w:val="22"/>
                <w:color w:val="0000FF"/>
              </w:rPr>
              <w:t xml:space="preserve">SECTION 10.1  Appointment and Authorization of Agent.  </w:t>
            </w:r>
            <w:r>
              <w:rPr>
                <w:rFonts w:ascii="Times New Roman" w:cs="Times New Roman" w:eastAsia="Times New Roman" w:hAnsi="Times New Roman"/>
                <w:sz w:val="22"/>
                <w:szCs w:val="22"/>
                <w:color w:val="000000"/>
              </w:rPr>
              <w:t>93</w:t>
            </w:r>
          </w:p>
        </w:tc>
      </w:tr>
      <w:tr>
        <w:trPr>
          <w:trHeight w:val="344"/>
        </w:trPr>
        <w:tc>
          <w:tcPr>
            <w:tcW w:w="660" w:type="dxa"/>
            <w:vAlign w:val="bottom"/>
          </w:tcPr>
          <w:p>
            <w:pPr>
              <w:spacing w:after="0"/>
              <w:rPr>
                <w:sz w:val="24"/>
                <w:szCs w:val="24"/>
                <w:color w:val="auto"/>
              </w:rPr>
            </w:pPr>
          </w:p>
        </w:tc>
        <w:tc>
          <w:tcPr>
            <w:tcW w:w="51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2"/>
                <w:szCs w:val="22"/>
                <w:color w:val="0000FF"/>
              </w:rPr>
              <w:t xml:space="preserve">SECTION 10.2  Delegation of Duties.  </w:t>
            </w:r>
            <w:r>
              <w:rPr>
                <w:rFonts w:ascii="Times New Roman" w:cs="Times New Roman" w:eastAsia="Times New Roman" w:hAnsi="Times New Roman"/>
                <w:sz w:val="22"/>
                <w:szCs w:val="22"/>
                <w:color w:val="000000"/>
              </w:rPr>
              <w:t>94</w:t>
            </w:r>
          </w:p>
        </w:tc>
        <w:tc>
          <w:tcPr>
            <w:tcW w:w="1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400" w:type="dxa"/>
            <w:vAlign w:val="bottom"/>
            <w:gridSpan w:val="6"/>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8"/>
        </w:trPr>
        <w:tc>
          <w:tcPr>
            <w:tcW w:w="660" w:type="dxa"/>
            <w:vAlign w:val="bottom"/>
          </w:tcPr>
          <w:p>
            <w:pPr>
              <w:spacing w:after="0"/>
              <w:rPr>
                <w:sz w:val="24"/>
                <w:szCs w:val="24"/>
                <w:color w:val="auto"/>
              </w:rPr>
            </w:pPr>
          </w:p>
        </w:tc>
        <w:tc>
          <w:tcPr>
            <w:tcW w:w="5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2"/>
                <w:szCs w:val="22"/>
                <w:color w:val="0000FF"/>
                <w:w w:val="99"/>
              </w:rPr>
              <w:t>SECTION 10.3  Liability of Agents and Managing Agents.</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w:t>
            </w:r>
          </w:p>
        </w:tc>
      </w:tr>
    </w:tbl>
    <w:p>
      <w:pPr>
        <w:spacing w:after="0" w:line="200" w:lineRule="exact"/>
        <w:rPr>
          <w:sz w:val="20"/>
          <w:szCs w:val="20"/>
          <w:color w:val="auto"/>
        </w:rPr>
      </w:pP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22" w:right="1440" w:bottom="1440" w:gutter="0" w:footer="0" w:header="0"/>
          <w:type w:val="continuous"/>
        </w:sectPr>
      </w:pPr>
    </w:p>
    <w:bookmarkStart w:id="37" w:name="page38"/>
    <w:bookmarkEnd w:id="37"/>
    <w:p>
      <w:pPr>
        <w:ind w:left="660"/>
        <w:spacing w:after="0"/>
        <w:tabs>
          <w:tab w:leader="none" w:pos="2200" w:val="left"/>
          <w:tab w:leader="none" w:pos="4080" w:val="left"/>
        </w:tabs>
        <w:rPr>
          <w:sz w:val="20"/>
          <w:szCs w:val="20"/>
          <w:color w:val="auto"/>
        </w:rPr>
      </w:pPr>
      <w:r>
        <w:rPr>
          <w:rFonts w:ascii="Times New Roman" w:cs="Times New Roman" w:eastAsia="Times New Roman" w:hAnsi="Times New Roman"/>
          <w:sz w:val="22"/>
          <w:szCs w:val="22"/>
          <w:u w:val="single" w:color="auto"/>
          <w:color w:val="0000FF"/>
        </w:rPr>
        <w:t>SECTION 10.4</w:t>
      </w:r>
      <w:r>
        <w:rPr>
          <w:sz w:val="20"/>
          <w:szCs w:val="20"/>
          <w:color w:val="auto"/>
        </w:rPr>
        <w:tab/>
      </w:r>
      <w:r>
        <w:rPr>
          <w:rFonts w:ascii="Times New Roman" w:cs="Times New Roman" w:eastAsia="Times New Roman" w:hAnsi="Times New Roman"/>
          <w:sz w:val="22"/>
          <w:szCs w:val="22"/>
          <w:u w:val="single" w:color="auto"/>
          <w:color w:val="0000FF"/>
        </w:rPr>
        <w:t>Reliance by Agent.</w:t>
      </w:r>
      <w:r>
        <w:rPr>
          <w:sz w:val="20"/>
          <w:szCs w:val="20"/>
          <w:color w:val="auto"/>
        </w:rPr>
        <w:tab/>
      </w:r>
      <w:r>
        <w:rPr>
          <w:rFonts w:ascii="Times New Roman" w:cs="Times New Roman" w:eastAsia="Times New Roman" w:hAnsi="Times New Roman"/>
          <w:sz w:val="19"/>
          <w:szCs w:val="19"/>
          <w:color w:val="auto"/>
        </w:rPr>
        <w:t>94</w:t>
      </w:r>
    </w:p>
    <w:p>
      <w:pPr>
        <w:spacing w:after="0" w:line="112" w:lineRule="exact"/>
        <w:rPr>
          <w:sz w:val="20"/>
          <w:szCs w:val="20"/>
          <w:color w:val="auto"/>
        </w:rPr>
      </w:pPr>
    </w:p>
    <w:p>
      <w:pPr>
        <w:ind w:left="660" w:right="719"/>
        <w:spacing w:after="0" w:line="352" w:lineRule="auto"/>
        <w:rPr>
          <w:sz w:val="20"/>
          <w:szCs w:val="20"/>
          <w:color w:val="auto"/>
        </w:rPr>
      </w:pPr>
      <w:r>
        <w:rPr>
          <w:rFonts w:ascii="Times New Roman" w:cs="Times New Roman" w:eastAsia="Times New Roman" w:hAnsi="Times New Roman"/>
          <w:sz w:val="22"/>
          <w:szCs w:val="22"/>
          <w:u w:val="single" w:color="auto"/>
          <w:color w:val="0000FF"/>
        </w:rPr>
        <w:t>SECTION 10.5 Notice of Termination Event, Potential Termination Event or Servicer Default.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95</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10.6 Credit Decision; Disclosure of Information by the Agent.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95</w:t>
      </w:r>
    </w:p>
    <w:p>
      <w:pPr>
        <w:ind w:left="660"/>
        <w:spacing w:after="0"/>
        <w:tabs>
          <w:tab w:leader="none" w:pos="2200" w:val="left"/>
          <w:tab w:leader="none" w:pos="4980" w:val="left"/>
        </w:tabs>
        <w:rPr>
          <w:sz w:val="20"/>
          <w:szCs w:val="20"/>
          <w:color w:val="auto"/>
        </w:rPr>
      </w:pPr>
      <w:r>
        <w:rPr>
          <w:rFonts w:ascii="Times New Roman" w:cs="Times New Roman" w:eastAsia="Times New Roman" w:hAnsi="Times New Roman"/>
          <w:sz w:val="22"/>
          <w:szCs w:val="22"/>
          <w:u w:val="single" w:color="auto"/>
          <w:color w:val="0000FF"/>
        </w:rPr>
        <w:t>SECTION 10.7</w:t>
      </w:r>
      <w:r>
        <w:rPr>
          <w:sz w:val="20"/>
          <w:szCs w:val="20"/>
          <w:color w:val="auto"/>
        </w:rPr>
        <w:tab/>
      </w:r>
      <w:r>
        <w:rPr>
          <w:rFonts w:ascii="Times New Roman" w:cs="Times New Roman" w:eastAsia="Times New Roman" w:hAnsi="Times New Roman"/>
          <w:sz w:val="22"/>
          <w:szCs w:val="22"/>
          <w:u w:val="single" w:color="auto"/>
          <w:color w:val="0000FF"/>
        </w:rPr>
        <w:t>Indemnification of the Agent.</w:t>
      </w:r>
      <w:r>
        <w:rPr>
          <w:sz w:val="20"/>
          <w:szCs w:val="20"/>
          <w:color w:val="auto"/>
        </w:rPr>
        <w:tab/>
      </w:r>
      <w:r>
        <w:rPr>
          <w:rFonts w:ascii="Times New Roman" w:cs="Times New Roman" w:eastAsia="Times New Roman" w:hAnsi="Times New Roman"/>
          <w:sz w:val="22"/>
          <w:szCs w:val="22"/>
          <w:color w:val="auto"/>
        </w:rPr>
        <w:t>96</w:t>
      </w:r>
    </w:p>
    <w:p>
      <w:pPr>
        <w:spacing w:after="0" w:line="112" w:lineRule="exact"/>
        <w:rPr>
          <w:sz w:val="20"/>
          <w:szCs w:val="20"/>
          <w:color w:val="auto"/>
        </w:rPr>
      </w:pPr>
    </w:p>
    <w:p>
      <w:pPr>
        <w:ind w:left="660"/>
        <w:spacing w:after="0"/>
        <w:tabs>
          <w:tab w:leader="none" w:pos="2200" w:val="left"/>
          <w:tab w:leader="none" w:pos="4960" w:val="left"/>
        </w:tabs>
        <w:rPr>
          <w:sz w:val="20"/>
          <w:szCs w:val="20"/>
          <w:color w:val="auto"/>
        </w:rPr>
      </w:pPr>
      <w:r>
        <w:rPr>
          <w:rFonts w:ascii="Times New Roman" w:cs="Times New Roman" w:eastAsia="Times New Roman" w:hAnsi="Times New Roman"/>
          <w:sz w:val="22"/>
          <w:szCs w:val="22"/>
          <w:u w:val="single" w:color="auto"/>
          <w:color w:val="0000FF"/>
        </w:rPr>
        <w:t>SECTION 10.8</w:t>
      </w:r>
      <w:r>
        <w:rPr>
          <w:sz w:val="20"/>
          <w:szCs w:val="20"/>
          <w:color w:val="auto"/>
        </w:rPr>
        <w:tab/>
      </w:r>
      <w:r>
        <w:rPr>
          <w:rFonts w:ascii="Times New Roman" w:cs="Times New Roman" w:eastAsia="Times New Roman" w:hAnsi="Times New Roman"/>
          <w:sz w:val="22"/>
          <w:szCs w:val="22"/>
          <w:u w:val="single" w:color="auto"/>
          <w:color w:val="0000FF"/>
        </w:rPr>
        <w:t>Agent in Individual Capacity.</w:t>
      </w:r>
      <w:r>
        <w:rPr>
          <w:sz w:val="20"/>
          <w:szCs w:val="20"/>
          <w:color w:val="auto"/>
        </w:rPr>
        <w:tab/>
      </w:r>
      <w:r>
        <w:rPr>
          <w:rFonts w:ascii="Times New Roman" w:cs="Times New Roman" w:eastAsia="Times New Roman" w:hAnsi="Times New Roman"/>
          <w:sz w:val="22"/>
          <w:szCs w:val="22"/>
          <w:color w:val="auto"/>
        </w:rPr>
        <w:t>96</w:t>
      </w:r>
    </w:p>
    <w:p>
      <w:pPr>
        <w:spacing w:after="0" w:line="112" w:lineRule="exact"/>
        <w:rPr>
          <w:sz w:val="20"/>
          <w:szCs w:val="20"/>
          <w:color w:val="auto"/>
        </w:rPr>
      </w:pPr>
    </w:p>
    <w:p>
      <w:pPr>
        <w:ind w:left="660"/>
        <w:spacing w:after="0"/>
        <w:tabs>
          <w:tab w:leader="none" w:pos="2200" w:val="left"/>
          <w:tab w:leader="none" w:pos="4400" w:val="left"/>
        </w:tabs>
        <w:rPr>
          <w:sz w:val="20"/>
          <w:szCs w:val="20"/>
          <w:color w:val="auto"/>
        </w:rPr>
      </w:pPr>
      <w:r>
        <w:rPr>
          <w:rFonts w:ascii="Times New Roman" w:cs="Times New Roman" w:eastAsia="Times New Roman" w:hAnsi="Times New Roman"/>
          <w:sz w:val="22"/>
          <w:szCs w:val="22"/>
          <w:u w:val="single" w:color="auto"/>
          <w:color w:val="0000FF"/>
        </w:rPr>
        <w:t>SECTION 10.9</w:t>
      </w:r>
      <w:r>
        <w:rPr>
          <w:sz w:val="20"/>
          <w:szCs w:val="20"/>
          <w:color w:val="auto"/>
        </w:rPr>
        <w:tab/>
      </w:r>
      <w:r>
        <w:rPr>
          <w:rFonts w:ascii="Times New Roman" w:cs="Times New Roman" w:eastAsia="Times New Roman" w:hAnsi="Times New Roman"/>
          <w:sz w:val="22"/>
          <w:szCs w:val="22"/>
          <w:u w:val="single" w:color="auto"/>
          <w:color w:val="0000FF"/>
        </w:rPr>
        <w:t>Resignation of Agents.</w:t>
      </w:r>
      <w:r>
        <w:rPr>
          <w:sz w:val="20"/>
          <w:szCs w:val="20"/>
          <w:color w:val="auto"/>
        </w:rPr>
        <w:tab/>
      </w:r>
      <w:r>
        <w:rPr>
          <w:rFonts w:ascii="Times New Roman" w:cs="Times New Roman" w:eastAsia="Times New Roman" w:hAnsi="Times New Roman"/>
          <w:sz w:val="22"/>
          <w:szCs w:val="22"/>
          <w:color w:val="auto"/>
        </w:rPr>
        <w:t>97</w:t>
      </w:r>
    </w:p>
    <w:p>
      <w:pPr>
        <w:spacing w:after="0" w:line="112" w:lineRule="exact"/>
        <w:rPr>
          <w:sz w:val="20"/>
          <w:szCs w:val="20"/>
          <w:color w:val="auto"/>
        </w:rPr>
      </w:pPr>
    </w:p>
    <w:p>
      <w:pPr>
        <w:ind w:left="660"/>
        <w:spacing w:after="0"/>
        <w:tabs>
          <w:tab w:leader="none" w:pos="2300" w:val="left"/>
          <w:tab w:leader="none" w:pos="5480" w:val="left"/>
        </w:tabs>
        <w:rPr>
          <w:sz w:val="20"/>
          <w:szCs w:val="20"/>
          <w:color w:val="auto"/>
        </w:rPr>
      </w:pPr>
      <w:r>
        <w:rPr>
          <w:rFonts w:ascii="Times New Roman" w:cs="Times New Roman" w:eastAsia="Times New Roman" w:hAnsi="Times New Roman"/>
          <w:sz w:val="22"/>
          <w:szCs w:val="22"/>
          <w:u w:val="single" w:color="auto"/>
          <w:color w:val="0000FF"/>
        </w:rPr>
        <w:t>SECTION 10.10</w:t>
      </w:r>
      <w:r>
        <w:rPr>
          <w:sz w:val="20"/>
          <w:szCs w:val="20"/>
          <w:color w:val="auto"/>
        </w:rPr>
        <w:tab/>
      </w:r>
      <w:r>
        <w:rPr>
          <w:rFonts w:ascii="Times New Roman" w:cs="Times New Roman" w:eastAsia="Times New Roman" w:hAnsi="Times New Roman"/>
          <w:sz w:val="22"/>
          <w:szCs w:val="22"/>
          <w:u w:val="single" w:color="auto"/>
          <w:color w:val="0000FF"/>
        </w:rPr>
        <w:t>Recovery of Erroneous Payments.</w:t>
      </w:r>
      <w:r>
        <w:rPr>
          <w:sz w:val="20"/>
          <w:szCs w:val="20"/>
          <w:color w:val="auto"/>
        </w:rPr>
        <w:tab/>
      </w:r>
      <w:r>
        <w:rPr>
          <w:rFonts w:ascii="Times New Roman" w:cs="Times New Roman" w:eastAsia="Times New Roman" w:hAnsi="Times New Roman"/>
          <w:sz w:val="19"/>
          <w:szCs w:val="19"/>
          <w:color w:val="auto"/>
        </w:rPr>
        <w:t>97</w:t>
      </w:r>
    </w:p>
    <w:p>
      <w:pPr>
        <w:spacing w:after="0" w:line="112" w:lineRule="exact"/>
        <w:rPr>
          <w:sz w:val="20"/>
          <w:szCs w:val="20"/>
          <w:color w:val="auto"/>
        </w:rPr>
      </w:pPr>
    </w:p>
    <w:p>
      <w:pPr>
        <w:ind w:left="660"/>
        <w:spacing w:after="0"/>
        <w:tabs>
          <w:tab w:leader="none" w:pos="2300" w:val="left"/>
          <w:tab w:leader="none" w:pos="4580" w:val="left"/>
        </w:tabs>
        <w:rPr>
          <w:sz w:val="20"/>
          <w:szCs w:val="20"/>
          <w:color w:val="auto"/>
        </w:rPr>
      </w:pPr>
      <w:r>
        <w:rPr>
          <w:rFonts w:ascii="Times New Roman" w:cs="Times New Roman" w:eastAsia="Times New Roman" w:hAnsi="Times New Roman"/>
          <w:sz w:val="22"/>
          <w:szCs w:val="22"/>
          <w:u w:val="single" w:color="auto"/>
          <w:color w:val="0000FF"/>
        </w:rPr>
        <w:t>SECTION 10.11</w:t>
      </w:r>
      <w:r>
        <w:rPr>
          <w:sz w:val="20"/>
          <w:szCs w:val="20"/>
          <w:color w:val="auto"/>
        </w:rPr>
        <w:tab/>
      </w:r>
      <w:r>
        <w:rPr>
          <w:rFonts w:ascii="Times New Roman" w:cs="Times New Roman" w:eastAsia="Times New Roman" w:hAnsi="Times New Roman"/>
          <w:sz w:val="22"/>
          <w:szCs w:val="22"/>
          <w:u w:val="single" w:color="auto"/>
          <w:color w:val="0000FF"/>
        </w:rPr>
        <w:t>Payments by the Agent.</w:t>
      </w:r>
      <w:r>
        <w:rPr>
          <w:sz w:val="20"/>
          <w:szCs w:val="20"/>
          <w:color w:val="auto"/>
        </w:rPr>
        <w:tab/>
      </w:r>
      <w:r>
        <w:rPr>
          <w:rFonts w:ascii="Times New Roman" w:cs="Times New Roman" w:eastAsia="Times New Roman" w:hAnsi="Times New Roman"/>
          <w:sz w:val="22"/>
          <w:szCs w:val="22"/>
          <w:color w:val="auto"/>
        </w:rPr>
        <w:t>99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ARTICLE XI MISCELLANEOUS</w:t>
      </w:r>
    </w:p>
    <w:p>
      <w:pPr>
        <w:spacing w:after="0" w:line="88"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11.1</w:t>
            </w:r>
          </w:p>
        </w:tc>
        <w:tc>
          <w:tcPr>
            <w:tcW w:w="72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rPr>
              <w:t xml:space="preserve">Term of Agreement.  </w:t>
            </w:r>
            <w:r>
              <w:rPr>
                <w:rFonts w:ascii="Times New Roman" w:cs="Times New Roman" w:eastAsia="Times New Roman" w:hAnsi="Times New Roman"/>
                <w:sz w:val="22"/>
                <w:szCs w:val="22"/>
                <w:color w:val="000000"/>
              </w:rPr>
              <w:t>99</w:t>
            </w:r>
          </w:p>
        </w:tc>
      </w:tr>
      <w:tr>
        <w:trPr>
          <w:trHeight w:val="20"/>
        </w:trPr>
        <w:tc>
          <w:tcPr>
            <w:tcW w:w="14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11.2</w:t>
            </w:r>
          </w:p>
        </w:tc>
        <w:tc>
          <w:tcPr>
            <w:tcW w:w="72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rPr>
              <w:t xml:space="preserve">Waivers; Amendments.  </w:t>
            </w:r>
            <w:r>
              <w:rPr>
                <w:rFonts w:ascii="Times New Roman" w:cs="Times New Roman" w:eastAsia="Times New Roman" w:hAnsi="Times New Roman"/>
                <w:sz w:val="22"/>
                <w:szCs w:val="22"/>
                <w:color w:val="000000"/>
              </w:rPr>
              <w:t>100</w:t>
            </w:r>
          </w:p>
        </w:tc>
      </w:tr>
      <w:tr>
        <w:trPr>
          <w:trHeight w:val="20"/>
        </w:trPr>
        <w:tc>
          <w:tcPr>
            <w:tcW w:w="14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11.3</w:t>
            </w:r>
          </w:p>
        </w:tc>
        <w:tc>
          <w:tcPr>
            <w:tcW w:w="72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rPr>
              <w:t xml:space="preserve">Notices; Payment Information.  </w:t>
            </w:r>
            <w:r>
              <w:rPr>
                <w:rFonts w:ascii="Times New Roman" w:cs="Times New Roman" w:eastAsia="Times New Roman" w:hAnsi="Times New Roman"/>
                <w:sz w:val="22"/>
                <w:szCs w:val="22"/>
                <w:color w:val="000000"/>
              </w:rPr>
              <w:t>100</w:t>
            </w:r>
          </w:p>
        </w:tc>
      </w:tr>
      <w:tr>
        <w:trPr>
          <w:trHeight w:val="20"/>
        </w:trPr>
        <w:tc>
          <w:tcPr>
            <w:tcW w:w="144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11.4</w:t>
            </w:r>
          </w:p>
        </w:tc>
        <w:tc>
          <w:tcPr>
            <w:tcW w:w="72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w w:val="99"/>
              </w:rPr>
              <w:t xml:space="preserve">Governing Law; Submission to Jurisdiction; Appointment of Service Agent.  </w:t>
            </w:r>
            <w:r>
              <w:rPr>
                <w:rFonts w:ascii="Times New Roman" w:cs="Times New Roman" w:eastAsia="Times New Roman" w:hAnsi="Times New Roman"/>
                <w:sz w:val="22"/>
                <w:szCs w:val="22"/>
                <w:color w:val="000000"/>
                <w:w w:val="99"/>
              </w:rPr>
              <w:t>101</w:t>
            </w:r>
          </w:p>
        </w:tc>
      </w:tr>
      <w:tr>
        <w:trPr>
          <w:trHeight w:val="20"/>
        </w:trPr>
        <w:tc>
          <w:tcPr>
            <w:tcW w:w="14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11.5</w:t>
            </w:r>
          </w:p>
        </w:tc>
        <w:tc>
          <w:tcPr>
            <w:tcW w:w="5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rPr>
              <w:t xml:space="preserve">Integration.  </w:t>
            </w:r>
            <w:r>
              <w:rPr>
                <w:rFonts w:ascii="Times New Roman" w:cs="Times New Roman" w:eastAsia="Times New Roman" w:hAnsi="Times New Roman"/>
                <w:sz w:val="22"/>
                <w:szCs w:val="22"/>
                <w:color w:val="000000"/>
              </w:rPr>
              <w:t>102</w:t>
            </w:r>
          </w:p>
        </w:tc>
      </w:tr>
      <w:tr>
        <w:trPr>
          <w:trHeight w:val="20"/>
        </w:trPr>
        <w:tc>
          <w:tcPr>
            <w:tcW w:w="254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6700" w:type="dxa"/>
            <w:vAlign w:val="bottom"/>
            <w:gridSpan w:val="6"/>
          </w:tcPr>
          <w:p>
            <w:pPr>
              <w:spacing w:after="0"/>
              <w:rPr>
                <w:sz w:val="20"/>
                <w:szCs w:val="20"/>
                <w:color w:val="auto"/>
              </w:rPr>
            </w:pPr>
            <w:r>
              <w:rPr>
                <w:rFonts w:ascii="Times New Roman" w:cs="Times New Roman" w:eastAsia="Times New Roman" w:hAnsi="Times New Roman"/>
                <w:sz w:val="22"/>
                <w:szCs w:val="22"/>
                <w:color w:val="0000FF"/>
              </w:rPr>
              <w:t xml:space="preserve">SECTION 11.6  Severability of Provisions.  </w:t>
            </w:r>
            <w:r>
              <w:rPr>
                <w:rFonts w:ascii="Times New Roman" w:cs="Times New Roman" w:eastAsia="Times New Roman" w:hAnsi="Times New Roman"/>
                <w:sz w:val="22"/>
                <w:szCs w:val="22"/>
                <w:color w:val="000000"/>
              </w:rPr>
              <w:t>102</w:t>
            </w:r>
          </w:p>
        </w:tc>
      </w:tr>
      <w:tr>
        <w:trPr>
          <w:trHeight w:val="20"/>
        </w:trPr>
        <w:tc>
          <w:tcPr>
            <w:tcW w:w="14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11.7</w:t>
            </w:r>
          </w:p>
        </w:tc>
        <w:tc>
          <w:tcPr>
            <w:tcW w:w="5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rPr>
              <w:t xml:space="preserve">Counterparts; Facsimile Delivery.  </w:t>
            </w:r>
            <w:r>
              <w:rPr>
                <w:rFonts w:ascii="Times New Roman" w:cs="Times New Roman" w:eastAsia="Times New Roman" w:hAnsi="Times New Roman"/>
                <w:sz w:val="22"/>
                <w:szCs w:val="22"/>
                <w:color w:val="000000"/>
              </w:rPr>
              <w:t>102</w:t>
            </w:r>
          </w:p>
        </w:tc>
      </w:tr>
      <w:tr>
        <w:trPr>
          <w:trHeight w:val="20"/>
        </w:trPr>
        <w:tc>
          <w:tcPr>
            <w:tcW w:w="144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0000FF"/>
              </w:rPr>
              <w:t>SECTION 11.8</w:t>
            </w:r>
          </w:p>
        </w:tc>
        <w:tc>
          <w:tcPr>
            <w:tcW w:w="52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0000FF"/>
                <w:w w:val="99"/>
              </w:rPr>
              <w:t xml:space="preserve">Successors, Assigns and Participants; Binding Effect.  </w:t>
            </w:r>
            <w:r>
              <w:rPr>
                <w:rFonts w:ascii="Times New Roman" w:cs="Times New Roman" w:eastAsia="Times New Roman" w:hAnsi="Times New Roman"/>
                <w:sz w:val="22"/>
                <w:szCs w:val="22"/>
                <w:color w:val="000000"/>
                <w:w w:val="99"/>
              </w:rPr>
              <w:t>102</w:t>
            </w:r>
          </w:p>
        </w:tc>
      </w:tr>
      <w:tr>
        <w:trPr>
          <w:trHeight w:val="345"/>
        </w:trPr>
        <w:tc>
          <w:tcPr>
            <w:tcW w:w="14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SECTION 11.9</w:t>
            </w:r>
          </w:p>
        </w:tc>
        <w:tc>
          <w:tcPr>
            <w:tcW w:w="4720" w:type="dxa"/>
            <w:vAlign w:val="bottom"/>
            <w:tcBorders>
              <w:top w:val="single" w:sz="8" w:color="0000FF"/>
            </w:tcBorders>
            <w:gridSpan w:val="4"/>
          </w:tcPr>
          <w:p>
            <w:pPr>
              <w:ind w:left="100"/>
              <w:spacing w:after="0"/>
              <w:rPr>
                <w:sz w:val="20"/>
                <w:szCs w:val="20"/>
                <w:color w:val="auto"/>
              </w:rPr>
            </w:pPr>
            <w:r>
              <w:rPr>
                <w:rFonts w:ascii="Times New Roman" w:cs="Times New Roman" w:eastAsia="Times New Roman" w:hAnsi="Times New Roman"/>
                <w:sz w:val="22"/>
                <w:szCs w:val="22"/>
                <w:color w:val="0000FF"/>
              </w:rPr>
              <w:t xml:space="preserve">Waiver of Confidentiality.  </w:t>
            </w:r>
            <w:r>
              <w:rPr>
                <w:rFonts w:ascii="Times New Roman" w:cs="Times New Roman" w:eastAsia="Times New Roman" w:hAnsi="Times New Roman"/>
                <w:sz w:val="22"/>
                <w:szCs w:val="22"/>
                <w:color w:val="000000"/>
              </w:rPr>
              <w:t>106</w:t>
            </w:r>
          </w:p>
        </w:tc>
        <w:tc>
          <w:tcPr>
            <w:tcW w:w="540" w:type="dxa"/>
            <w:vAlign w:val="bottom"/>
          </w:tcPr>
          <w:p>
            <w:pPr>
              <w:spacing w:after="0"/>
              <w:rPr>
                <w:sz w:val="24"/>
                <w:szCs w:val="24"/>
                <w:color w:val="auto"/>
              </w:rPr>
            </w:pPr>
          </w:p>
        </w:tc>
      </w:tr>
      <w:tr>
        <w:trPr>
          <w:trHeight w:val="20"/>
        </w:trPr>
        <w:tc>
          <w:tcPr>
            <w:tcW w:w="14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spacing w:after="0"/>
        <w:tabs>
          <w:tab w:leader="none" w:pos="2300" w:val="left"/>
          <w:tab w:leader="none" w:pos="4880" w:val="left"/>
        </w:tabs>
        <w:rPr>
          <w:sz w:val="20"/>
          <w:szCs w:val="20"/>
          <w:color w:val="auto"/>
        </w:rPr>
      </w:pPr>
      <w:r>
        <w:rPr>
          <w:rFonts w:ascii="Times New Roman" w:cs="Times New Roman" w:eastAsia="Times New Roman" w:hAnsi="Times New Roman"/>
          <w:sz w:val="22"/>
          <w:szCs w:val="22"/>
          <w:u w:val="single" w:color="auto"/>
          <w:color w:val="0000FF"/>
        </w:rPr>
        <w:t>SECTION 11.10</w:t>
      </w:r>
      <w:r>
        <w:rPr>
          <w:sz w:val="20"/>
          <w:szCs w:val="20"/>
          <w:color w:val="auto"/>
        </w:rPr>
        <w:tab/>
      </w:r>
      <w:r>
        <w:rPr>
          <w:rFonts w:ascii="Times New Roman" w:cs="Times New Roman" w:eastAsia="Times New Roman" w:hAnsi="Times New Roman"/>
          <w:sz w:val="22"/>
          <w:szCs w:val="22"/>
          <w:u w:val="single" w:color="auto"/>
          <w:color w:val="0000FF"/>
        </w:rPr>
        <w:t>Confidentiality Agreement.</w:t>
      </w:r>
      <w:r>
        <w:rPr>
          <w:sz w:val="20"/>
          <w:szCs w:val="20"/>
          <w:color w:val="auto"/>
        </w:rPr>
        <w:tab/>
      </w:r>
      <w:r>
        <w:rPr>
          <w:rFonts w:ascii="Times New Roman" w:cs="Times New Roman" w:eastAsia="Times New Roman" w:hAnsi="Times New Roman"/>
          <w:sz w:val="22"/>
          <w:szCs w:val="22"/>
          <w:color w:val="auto"/>
        </w:rPr>
        <w:t>106</w:t>
      </w:r>
    </w:p>
    <w:p>
      <w:pPr>
        <w:spacing w:after="0" w:line="125" w:lineRule="exact"/>
        <w:rPr>
          <w:sz w:val="20"/>
          <w:szCs w:val="20"/>
          <w:color w:val="auto"/>
        </w:rPr>
      </w:pPr>
    </w:p>
    <w:p>
      <w:pPr>
        <w:ind w:left="660" w:right="2639"/>
        <w:spacing w:after="0" w:line="345" w:lineRule="auto"/>
        <w:rPr>
          <w:sz w:val="20"/>
          <w:szCs w:val="20"/>
          <w:color w:val="auto"/>
        </w:rPr>
      </w:pPr>
      <w:r>
        <w:rPr>
          <w:rFonts w:ascii="Times New Roman" w:cs="Times New Roman" w:eastAsia="Times New Roman" w:hAnsi="Times New Roman"/>
          <w:sz w:val="22"/>
          <w:szCs w:val="22"/>
          <w:u w:val="single" w:color="auto"/>
          <w:color w:val="0000FF"/>
        </w:rPr>
        <w:t>SECTION 11.11 No Bankruptcy Petition Against the Conduit Investor.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107</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11.12 No Recourse.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107</w:t>
      </w:r>
    </w:p>
    <w:p>
      <w:pPr>
        <w:spacing w:after="0" w:line="2" w:lineRule="exact"/>
        <w:rPr>
          <w:sz w:val="20"/>
          <w:szCs w:val="20"/>
          <w:color w:val="auto"/>
        </w:rPr>
      </w:pPr>
    </w:p>
    <w:p>
      <w:pPr>
        <w:ind w:left="660" w:right="3579"/>
        <w:spacing w:after="0" w:line="350" w:lineRule="auto"/>
        <w:rPr>
          <w:sz w:val="20"/>
          <w:szCs w:val="20"/>
          <w:color w:val="auto"/>
        </w:rPr>
      </w:pPr>
      <w:r>
        <w:rPr>
          <w:rFonts w:ascii="Times New Roman" w:cs="Times New Roman" w:eastAsia="Times New Roman" w:hAnsi="Times New Roman"/>
          <w:sz w:val="22"/>
          <w:szCs w:val="22"/>
          <w:u w:val="single" w:color="auto"/>
          <w:color w:val="0000FF"/>
        </w:rPr>
        <w:t>SECTION 11.13 No Proceedings; Limitations on Payments.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107</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11.14 Amendment and Restatement.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108</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11.15 USA Patriot Act.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108</w:t>
      </w:r>
    </w:p>
    <w:p>
      <w:pPr>
        <w:ind w:left="660" w:right="3839"/>
        <w:spacing w:after="0" w:line="345" w:lineRule="auto"/>
        <w:rPr>
          <w:sz w:val="20"/>
          <w:szCs w:val="20"/>
          <w:color w:val="auto"/>
        </w:rPr>
      </w:pPr>
      <w:r>
        <w:rPr>
          <w:rFonts w:ascii="Times New Roman" w:cs="Times New Roman" w:eastAsia="Times New Roman" w:hAnsi="Times New Roman"/>
          <w:sz w:val="22"/>
          <w:szCs w:val="22"/>
          <w:u w:val="single" w:color="auto"/>
          <w:color w:val="0000FF"/>
        </w:rPr>
        <w:t>SECTION 11.16 Waiver of Consequential Damages, Etc.</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108</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SECTION 11.17 Electronic Records.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108</w:t>
      </w:r>
    </w:p>
    <w:p>
      <w:pPr>
        <w:spacing w:after="0" w:line="2" w:lineRule="exact"/>
        <w:rPr>
          <w:sz w:val="20"/>
          <w:szCs w:val="20"/>
          <w:color w:val="auto"/>
        </w:rPr>
      </w:pPr>
    </w:p>
    <w:p>
      <w:pPr>
        <w:ind w:left="660"/>
        <w:spacing w:after="0"/>
        <w:tabs>
          <w:tab w:leader="none" w:pos="2300" w:val="left"/>
          <w:tab w:leader="none" w:pos="7080" w:val="left"/>
        </w:tabs>
        <w:rPr>
          <w:sz w:val="20"/>
          <w:szCs w:val="20"/>
          <w:color w:val="auto"/>
        </w:rPr>
      </w:pPr>
      <w:r>
        <w:rPr>
          <w:rFonts w:ascii="Times New Roman" w:cs="Times New Roman" w:eastAsia="Times New Roman" w:hAnsi="Times New Roman"/>
          <w:sz w:val="22"/>
          <w:szCs w:val="22"/>
          <w:u w:val="single" w:color="auto"/>
          <w:color w:val="0000FF"/>
        </w:rPr>
        <w:t>SECTION 11.18</w:t>
      </w:r>
      <w:r>
        <w:rPr>
          <w:sz w:val="20"/>
          <w:szCs w:val="20"/>
          <w:color w:val="auto"/>
        </w:rPr>
        <w:tab/>
      </w:r>
      <w:r>
        <w:rPr>
          <w:rFonts w:ascii="Times New Roman" w:cs="Times New Roman" w:eastAsia="Times New Roman" w:hAnsi="Times New Roman"/>
          <w:sz w:val="22"/>
          <w:szCs w:val="22"/>
          <w:u w:val="single" w:color="auto"/>
          <w:color w:val="0000FF"/>
        </w:rPr>
        <w:t>Acknowledgement Regarding Any Supported QFCs.</w:t>
      </w:r>
      <w:r>
        <w:rPr>
          <w:sz w:val="20"/>
          <w:szCs w:val="20"/>
          <w:color w:val="auto"/>
        </w:rPr>
        <w:tab/>
      </w:r>
      <w:r>
        <w:rPr>
          <w:rFonts w:ascii="Times New Roman" w:cs="Times New Roman" w:eastAsia="Times New Roman" w:hAnsi="Times New Roman"/>
          <w:sz w:val="21"/>
          <w:szCs w:val="21"/>
          <w:color w:val="auto"/>
        </w:rPr>
        <w:t>109</w:t>
      </w:r>
    </w:p>
    <w:p>
      <w:pPr>
        <w:spacing w:after="0" w:line="112" w:lineRule="exact"/>
        <w:rPr>
          <w:sz w:val="20"/>
          <w:szCs w:val="20"/>
          <w:color w:val="auto"/>
        </w:rPr>
      </w:pPr>
    </w:p>
    <w:p>
      <w:pPr>
        <w:ind w:left="660"/>
        <w:spacing w:after="0"/>
        <w:tabs>
          <w:tab w:leader="none" w:pos="2300" w:val="left"/>
          <w:tab w:leader="none" w:pos="8800" w:val="left"/>
        </w:tabs>
        <w:rPr>
          <w:sz w:val="20"/>
          <w:szCs w:val="20"/>
          <w:color w:val="auto"/>
        </w:rPr>
      </w:pPr>
      <w:r>
        <w:rPr>
          <w:rFonts w:ascii="Times New Roman" w:cs="Times New Roman" w:eastAsia="Times New Roman" w:hAnsi="Times New Roman"/>
          <w:sz w:val="22"/>
          <w:szCs w:val="22"/>
          <w:u w:val="single" w:color="auto"/>
          <w:color w:val="0000FF"/>
        </w:rPr>
        <w:t>SECTION 11.19</w:t>
      </w:r>
      <w:r>
        <w:rPr>
          <w:sz w:val="20"/>
          <w:szCs w:val="20"/>
          <w:color w:val="auto"/>
        </w:rPr>
        <w:tab/>
      </w:r>
      <w:r>
        <w:rPr>
          <w:rFonts w:ascii="Times New Roman" w:cs="Times New Roman" w:eastAsia="Times New Roman" w:hAnsi="Times New Roman"/>
          <w:sz w:val="22"/>
          <w:szCs w:val="22"/>
          <w:u w:val="single" w:color="auto"/>
          <w:color w:val="0000FF"/>
        </w:rPr>
        <w:t>Acknowledgement and Consent to Bail-In of EEA Financial Institutions.</w:t>
      </w:r>
      <w:r>
        <w:rPr>
          <w:sz w:val="20"/>
          <w:szCs w:val="20"/>
          <w:color w:val="auto"/>
        </w:rPr>
        <w:tab/>
      </w:r>
      <w:r>
        <w:rPr>
          <w:rFonts w:ascii="Times New Roman" w:cs="Times New Roman" w:eastAsia="Times New Roman" w:hAnsi="Times New Roman"/>
          <w:sz w:val="21"/>
          <w:szCs w:val="21"/>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0139"/>
          </w:cols>
          <w:pgMar w:left="320" w:top="1422" w:right="1440" w:bottom="1440" w:gutter="0" w:footer="0" w:header="0"/>
        </w:sectPr>
      </w:pPr>
    </w:p>
    <w:bookmarkStart w:id="38" w:name="page39"/>
    <w:bookmarkEnd w:id="38"/>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(continued)</w:t>
      </w: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u w:val="single" w:color="auto"/>
          <w:color w:val="auto"/>
        </w:rPr>
        <w:t>Schedule</w:t>
      </w:r>
    </w:p>
    <w:p>
      <w:pPr>
        <w:spacing w:after="0" w:line="237"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2"/>
          <w:szCs w:val="22"/>
          <w:color w:val="auto"/>
        </w:rPr>
        <w:t>Schedule 4.1(d)</w:t>
      </w:r>
      <w:r>
        <w:rPr>
          <w:sz w:val="20"/>
          <w:szCs w:val="20"/>
          <w:color w:val="auto"/>
        </w:rPr>
        <w:tab/>
      </w:r>
      <w:r>
        <w:rPr>
          <w:rFonts w:ascii="Times New Roman" w:cs="Times New Roman" w:eastAsia="Times New Roman" w:hAnsi="Times New Roman"/>
          <w:sz w:val="21"/>
          <w:szCs w:val="21"/>
          <w:color w:val="auto"/>
        </w:rPr>
        <w:t>Perfection Representations, Warranties and Covenants</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u w:val="single" w:color="auto"/>
          <w:color w:val="auto"/>
        </w:rPr>
        <w:t>Exhibits</w:t>
      </w:r>
    </w:p>
    <w:p>
      <w:pPr>
        <w:spacing w:after="0" w:line="224" w:lineRule="exact"/>
        <w:rPr>
          <w:sz w:val="20"/>
          <w:szCs w:val="20"/>
          <w:color w:val="auto"/>
        </w:rPr>
      </w:pPr>
    </w:p>
    <w:p>
      <w:pPr>
        <w:ind w:right="4819"/>
        <w:spacing w:after="0" w:line="254" w:lineRule="auto"/>
        <w:rPr>
          <w:sz w:val="20"/>
          <w:szCs w:val="20"/>
          <w:color w:val="auto"/>
        </w:rPr>
      </w:pPr>
      <w:r>
        <w:rPr>
          <w:rFonts w:ascii="Times New Roman" w:cs="Times New Roman" w:eastAsia="Times New Roman" w:hAnsi="Times New Roman"/>
          <w:sz w:val="22"/>
          <w:szCs w:val="22"/>
          <w:color w:val="auto"/>
        </w:rPr>
        <w:t>Exhibit A Form of Assignment and Assumption Agreement Exhibit B [Reserved]</w:t>
      </w:r>
    </w:p>
    <w:p>
      <w:pPr>
        <w:spacing w:after="0" w:line="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Investment Request</w:t>
      </w:r>
    </w:p>
    <w:p>
      <w:pPr>
        <w:spacing w:after="0" w:line="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Servicer Report</w:t>
      </w:r>
    </w:p>
    <w:p>
      <w:pPr>
        <w:spacing w:after="0" w:line="1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SPV Secretary’s Certificate</w:t>
      </w:r>
    </w:p>
    <w:p>
      <w:pPr>
        <w:spacing w:after="0" w:line="4" w:lineRule="exact"/>
        <w:rPr>
          <w:sz w:val="20"/>
          <w:szCs w:val="20"/>
          <w:color w:val="auto"/>
        </w:rPr>
      </w:pPr>
    </w:p>
    <w:p>
      <w:pPr>
        <w:ind w:right="4599"/>
        <w:spacing w:after="0" w:line="248" w:lineRule="auto"/>
        <w:rPr>
          <w:sz w:val="20"/>
          <w:szCs w:val="20"/>
          <w:color w:val="auto"/>
        </w:rPr>
      </w:pPr>
      <w:r>
        <w:rPr>
          <w:rFonts w:ascii="Times New Roman" w:cs="Times New Roman" w:eastAsia="Times New Roman" w:hAnsi="Times New Roman"/>
          <w:sz w:val="22"/>
          <w:szCs w:val="22"/>
          <w:color w:val="auto"/>
        </w:rPr>
        <w:t>Exhibit F Forms of Originator/Servicer Secretary’s Certificate Exhibit G Form of Special Obligor Approval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18" w:right="1440" w:bottom="1440" w:gutter="0" w:footer="0" w:header="0"/>
        </w:sectPr>
      </w:pPr>
    </w:p>
    <w:bookmarkStart w:id="39" w:name="page40"/>
    <w:bookmarkEnd w:id="39"/>
    <w:p>
      <w:pPr>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Fourth Amended and Restated Transfer and Administration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May 11, 2026, by and among:</w:t>
      </w:r>
    </w:p>
    <w:p>
      <w:pPr>
        <w:spacing w:after="0" w:line="149" w:lineRule="exact"/>
        <w:rPr>
          <w:sz w:val="20"/>
          <w:szCs w:val="20"/>
          <w:color w:val="auto"/>
        </w:rPr>
      </w:pPr>
    </w:p>
    <w:p>
      <w:pPr>
        <w:ind w:left="1120" w:hanging="464"/>
        <w:spacing w:after="0"/>
        <w:tabs>
          <w:tab w:leader="none" w:pos="11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GREIF RECEIVABLES FUNDING LLC</w:t>
      </w:r>
      <w:r>
        <w:rPr>
          <w:rFonts w:ascii="Times New Roman" w:cs="Times New Roman" w:eastAsia="Times New Roman" w:hAnsi="Times New Roman"/>
          <w:sz w:val="22"/>
          <w:szCs w:val="22"/>
          <w:color w:val="auto"/>
        </w:rPr>
        <w:t>, a Delaware limited liability company (the “</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656"/>
        <w:spacing w:after="0" w:line="275" w:lineRule="auto"/>
        <w:tabs>
          <w:tab w:leader="none" w:pos="119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GREIF PACKAGING LLC</w:t>
      </w:r>
      <w:r>
        <w:rPr>
          <w:rFonts w:ascii="Times New Roman" w:cs="Times New Roman" w:eastAsia="Times New Roman" w:hAnsi="Times New Roman"/>
          <w:sz w:val="22"/>
          <w:szCs w:val="22"/>
          <w:color w:val="auto"/>
        </w:rPr>
        <w:t>, a Delaware limited liability company, as an Originator (in such capacity, the “</w:t>
      </w:r>
      <w:r>
        <w:rPr>
          <w:rFonts w:ascii="Times New Roman" w:cs="Times New Roman" w:eastAsia="Times New Roman" w:hAnsi="Times New Roman"/>
          <w:sz w:val="22"/>
          <w:szCs w:val="22"/>
          <w:u w:val="single" w:color="auto"/>
          <w:color w:val="auto"/>
        </w:rPr>
        <w:t>GP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and as initial Servicer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AMERICAN FLANGE &amp; MANUFACTURING CO. INC.</w:t>
      </w:r>
      <w:r>
        <w:rPr>
          <w:rFonts w:ascii="Times New Roman" w:cs="Times New Roman" w:eastAsia="Times New Roman" w:hAnsi="Times New Roman"/>
          <w:sz w:val="21"/>
          <w:szCs w:val="21"/>
          <w:color w:val="auto"/>
        </w:rPr>
        <w:t>, a Delaware corporation, as an originator (the “</w:t>
      </w:r>
      <w:r>
        <w:rPr>
          <w:rFonts w:ascii="Times New Roman" w:cs="Times New Roman" w:eastAsia="Times New Roman" w:hAnsi="Times New Roman"/>
          <w:sz w:val="21"/>
          <w:szCs w:val="21"/>
          <w:u w:val="single" w:color="auto"/>
          <w:color w:val="auto"/>
        </w:rPr>
        <w:t>AFM</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CARAUSTAR MILL GROUP, INC.</w:t>
      </w:r>
      <w:r>
        <w:rPr>
          <w:rFonts w:ascii="Times New Roman" w:cs="Times New Roman" w:eastAsia="Times New Roman" w:hAnsi="Times New Roman"/>
          <w:sz w:val="22"/>
          <w:szCs w:val="22"/>
          <w:color w:val="auto"/>
        </w:rPr>
        <w:t>, an Ohio corporation, as an originator (the “</w:t>
      </w:r>
      <w:r>
        <w:rPr>
          <w:rFonts w:ascii="Times New Roman" w:cs="Times New Roman" w:eastAsia="Times New Roman" w:hAnsi="Times New Roman"/>
          <w:sz w:val="22"/>
          <w:szCs w:val="22"/>
          <w:u w:val="single" w:color="auto"/>
          <w:color w:val="auto"/>
        </w:rPr>
        <w:t>Caraustar Mill Originator</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656"/>
        <w:spacing w:after="0" w:line="275" w:lineRule="auto"/>
        <w:tabs>
          <w:tab w:leader="none" w:pos="117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CARAUSTAR INDUSTRIAL AND CONSUMER PRODUCTS GROUP, INC.</w:t>
      </w:r>
      <w:r>
        <w:rPr>
          <w:rFonts w:ascii="Times New Roman" w:cs="Times New Roman" w:eastAsia="Times New Roman" w:hAnsi="Times New Roman"/>
          <w:sz w:val="22"/>
          <w:szCs w:val="22"/>
          <w:color w:val="auto"/>
        </w:rPr>
        <w:t>, a Delaware corporation, as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originator (the “</w:t>
      </w:r>
      <w:r>
        <w:rPr>
          <w:rFonts w:ascii="Times New Roman" w:cs="Times New Roman" w:eastAsia="Times New Roman" w:hAnsi="Times New Roman"/>
          <w:sz w:val="22"/>
          <w:szCs w:val="22"/>
          <w:u w:val="single" w:color="auto"/>
          <w:color w:val="auto"/>
        </w:rPr>
        <w:t>Caraustar Industrial Originator</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firstLine="656"/>
        <w:spacing w:after="0" w:line="275" w:lineRule="auto"/>
        <w:tabs>
          <w:tab w:leader="none" w:pos="118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CARAUSTAR RECOVERED FIBER GROUP, INC.</w:t>
      </w:r>
      <w:r>
        <w:rPr>
          <w:rFonts w:ascii="Times New Roman" w:cs="Times New Roman" w:eastAsia="Times New Roman" w:hAnsi="Times New Roman"/>
          <w:sz w:val="22"/>
          <w:szCs w:val="22"/>
          <w:color w:val="auto"/>
        </w:rPr>
        <w:t>, a Delaware corporation, as an originator (the “</w:t>
      </w:r>
      <w:r>
        <w:rPr>
          <w:rFonts w:ascii="Times New Roman" w:cs="Times New Roman" w:eastAsia="Times New Roman" w:hAnsi="Times New Roman"/>
          <w:sz w:val="22"/>
          <w:szCs w:val="22"/>
          <w:u w:val="single" w:color="auto"/>
          <w:color w:val="auto"/>
        </w:rPr>
        <w:t>Caraustar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Fiber Originator</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NEWARK GROUP, INC.</w:t>
      </w:r>
      <w:r>
        <w:rPr>
          <w:rFonts w:ascii="Times New Roman" w:cs="Times New Roman" w:eastAsia="Times New Roman" w:hAnsi="Times New Roman"/>
          <w:sz w:val="22"/>
          <w:szCs w:val="22"/>
          <w:color w:val="auto"/>
        </w:rPr>
        <w:t>, a New Jersey corporation, as an originator (the “</w:t>
      </w:r>
      <w:r>
        <w:rPr>
          <w:rFonts w:ascii="Times New Roman" w:cs="Times New Roman" w:eastAsia="Times New Roman" w:hAnsi="Times New Roman"/>
          <w:sz w:val="22"/>
          <w:szCs w:val="22"/>
          <w:u w:val="single" w:color="auto"/>
          <w:color w:val="auto"/>
        </w:rPr>
        <w:t>Newark Originator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 w:firstLine="656"/>
        <w:spacing w:after="0" w:line="287" w:lineRule="auto"/>
        <w:tabs>
          <w:tab w:leader="none" w:pos="112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CARAUSTAR CONSUMER PRODUCTS GROUP, LLC</w:t>
      </w:r>
      <w:r>
        <w:rPr>
          <w:rFonts w:ascii="Times New Roman" w:cs="Times New Roman" w:eastAsia="Times New Roman" w:hAnsi="Times New Roman"/>
          <w:sz w:val="22"/>
          <w:szCs w:val="22"/>
          <w:color w:val="auto"/>
        </w:rPr>
        <w:t>, a Delaware limited liability company, as an originator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Caraustar Consumer Originator</w:t>
      </w:r>
      <w:r>
        <w:rPr>
          <w:rFonts w:ascii="Times New Roman" w:cs="Times New Roman" w:eastAsia="Times New Roman" w:hAnsi="Times New Roman"/>
          <w:sz w:val="22"/>
          <w:szCs w:val="22"/>
          <w:color w:val="auto"/>
        </w:rPr>
        <w:t>”);</w:t>
      </w:r>
    </w:p>
    <w:p>
      <w:pPr>
        <w:spacing w:after="0" w:line="13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CASCADE PAPER CONVERTERS CO.</w:t>
      </w:r>
      <w:r>
        <w:rPr>
          <w:rFonts w:ascii="Times New Roman" w:cs="Times New Roman" w:eastAsia="Times New Roman" w:hAnsi="Times New Roman"/>
          <w:sz w:val="22"/>
          <w:szCs w:val="22"/>
          <w:color w:val="auto"/>
        </w:rPr>
        <w:t>, a Michigan corporation, as an originator (the “</w:t>
      </w:r>
      <w:r>
        <w:rPr>
          <w:rFonts w:ascii="Times New Roman" w:cs="Times New Roman" w:eastAsia="Times New Roman" w:hAnsi="Times New Roman"/>
          <w:sz w:val="22"/>
          <w:szCs w:val="22"/>
          <w:u w:val="single" w:color="auto"/>
          <w:color w:val="auto"/>
        </w:rPr>
        <w:t>Cascade Originator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656"/>
        <w:spacing w:after="0" w:line="275" w:lineRule="auto"/>
        <w:tabs>
          <w:tab w:leader="none" w:pos="12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CONTAINER LIFE CYCLE MANAGEMENT LLC</w:t>
      </w:r>
      <w:r>
        <w:rPr>
          <w:rFonts w:ascii="Times New Roman" w:cs="Times New Roman" w:eastAsia="Times New Roman" w:hAnsi="Times New Roman"/>
          <w:sz w:val="22"/>
          <w:szCs w:val="22"/>
          <w:color w:val="auto"/>
        </w:rPr>
        <w:t>, a Delaware limited liability company, as an originator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Container Life Originator</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1220" w:hanging="564"/>
        <w:spacing w:after="0"/>
        <w:tabs>
          <w:tab w:leader="none" w:pos="12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LEE CONTAINER, LLC</w:t>
      </w:r>
      <w:r>
        <w:rPr>
          <w:rFonts w:ascii="Times New Roman" w:cs="Times New Roman" w:eastAsia="Times New Roman" w:hAnsi="Times New Roman"/>
          <w:sz w:val="22"/>
          <w:szCs w:val="22"/>
          <w:color w:val="auto"/>
        </w:rPr>
        <w:t>, a Georgia limited liability company, as an originator (the “</w:t>
      </w:r>
      <w:r>
        <w:rPr>
          <w:rFonts w:ascii="Times New Roman" w:cs="Times New Roman" w:eastAsia="Times New Roman" w:hAnsi="Times New Roman"/>
          <w:sz w:val="22"/>
          <w:szCs w:val="22"/>
          <w:u w:val="single" w:color="auto"/>
          <w:color w:val="auto"/>
        </w:rPr>
        <w:t>Lee Originator</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66" w:lineRule="auto"/>
        <w:tabs>
          <w:tab w:leader="none" w:pos="125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LEE CONTAINER IOWA, LLC</w:t>
      </w:r>
      <w:r>
        <w:rPr>
          <w:rFonts w:ascii="Times New Roman" w:cs="Times New Roman" w:eastAsia="Times New Roman" w:hAnsi="Times New Roman"/>
          <w:sz w:val="21"/>
          <w:szCs w:val="21"/>
          <w:color w:val="auto"/>
        </w:rPr>
        <w:t>, an Iowa limited liability company, as an originator (the “</w:t>
      </w:r>
      <w:r>
        <w:rPr>
          <w:rFonts w:ascii="Times New Roman" w:cs="Times New Roman" w:eastAsia="Times New Roman" w:hAnsi="Times New Roman"/>
          <w:sz w:val="21"/>
          <w:szCs w:val="21"/>
          <w:u w:val="single" w:color="auto"/>
          <w:color w:val="auto"/>
        </w:rPr>
        <w:t>Lee Iowa Originator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together with the GP Originator, the AFM Originator, the Caraustar Mill Originator, the Caraustar Industrial Originator, the Caraustar Fiber Originator, the Newark Originator, the Caraustar Consumer Originator, the Cascade Originator, the Container Life Originator, the Lee Originator, and each other entity from time to time party hereto as an “Originator” pursuant to a joinder agreement in form and substance substantially acceptable to the Agent, each, an “</w:t>
      </w:r>
      <w:r>
        <w:rPr>
          <w:rFonts w:ascii="Times New Roman" w:cs="Times New Roman" w:eastAsia="Times New Roman" w:hAnsi="Times New Roman"/>
          <w:sz w:val="21"/>
          <w:szCs w:val="21"/>
          <w:u w:val="single" w:color="auto"/>
          <w:color w:val="auto"/>
        </w:rPr>
        <w:t>Originator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Originators</w:t>
      </w:r>
      <w:r>
        <w:rPr>
          <w:rFonts w:ascii="Times New Roman" w:cs="Times New Roman" w:eastAsia="Times New Roman" w:hAnsi="Times New Roman"/>
          <w:sz w:val="21"/>
          <w:szCs w:val="21"/>
          <w:color w:val="auto"/>
        </w:rPr>
        <w:t>”);</w:t>
      </w:r>
    </w:p>
    <w:p>
      <w:pPr>
        <w:spacing w:after="0" w:line="173" w:lineRule="exact"/>
        <w:rPr>
          <w:rFonts w:ascii="Times New Roman" w:cs="Times New Roman" w:eastAsia="Times New Roman" w:hAnsi="Times New Roman"/>
          <w:sz w:val="21"/>
          <w:szCs w:val="21"/>
          <w:color w:val="auto"/>
        </w:rPr>
      </w:pPr>
    </w:p>
    <w:p>
      <w:pPr>
        <w:ind w:right="20" w:firstLine="656"/>
        <w:spacing w:after="0" w:line="275" w:lineRule="auto"/>
        <w:tabs>
          <w:tab w:leader="none" w:pos="145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PNC BANK, NATIONAL ASSOCIATION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as a Committed Investor, a Managing Agent,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and the Agent;</w:t>
      </w:r>
    </w:p>
    <w:p>
      <w:pPr>
        <w:sectPr>
          <w:pgSz w:w="11900" w:h="16838" w:orient="portrait"/>
          <w:cols w:equalWidth="0" w:num="1">
            <w:col w:w="11240"/>
          </w:cols>
          <w:pgMar w:left="320" w:top="1418" w:right="339" w:bottom="1440" w:gutter="0" w:footer="0" w:header="0"/>
        </w:sectPr>
      </w:pPr>
    </w:p>
    <w:bookmarkStart w:id="40" w:name="page41"/>
    <w:bookmarkEnd w:id="40"/>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the various Investor Groups, Managing Agents and Administrators from time to time parties hereto.</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PRELIMINARY STATEMENTS. This Agreement amends and restates in its entirety, as of the date hereof, the Third Amended and Restated Transfer and Administration Agreement, dated as of September 24, 2019 (as amended, restated, supplemented or otherwise modified prior to the date hereof, the “</w:t>
      </w:r>
      <w:r>
        <w:rPr>
          <w:rFonts w:ascii="Times New Roman" w:cs="Times New Roman" w:eastAsia="Times New Roman" w:hAnsi="Times New Roman"/>
          <w:sz w:val="22"/>
          <w:szCs w:val="22"/>
          <w:u w:val="single" w:color="auto"/>
          <w:color w:val="auto"/>
        </w:rPr>
        <w:t>Existing Agreement</w:t>
      </w:r>
      <w:r>
        <w:rPr>
          <w:rFonts w:ascii="Times New Roman" w:cs="Times New Roman" w:eastAsia="Times New Roman" w:hAnsi="Times New Roman"/>
          <w:sz w:val="22"/>
          <w:szCs w:val="22"/>
          <w:color w:val="auto"/>
        </w:rPr>
        <w:t>”), among the SPV, the Servicer, the Managing Agents, Investors, the Administrators from time to time party thereto and the Agent (as successor by assignment to Bank of America, N.A. pursuant to the 2026 Bank of America Assignment). Upon the effectiveness of this Agreement, the terms and provisions of the Existing Agreement shall, subject to this paragraph, be amended and restated hereby in their entirety. Notwithstanding the amendment and restatement of the Existing Agreement by this Agreement, (i) the SPV and Servicer shall continue to be liable to each of the parties to the Existing Agreement or any other Indemnified Party or Servicer Indemnified Party (as such terms are defined in the Existing Agreement) for fees and expenses which are accrued and unpaid under the Existing Agreement on the date hereof (collectively, the “</w:t>
      </w:r>
      <w:r>
        <w:rPr>
          <w:rFonts w:ascii="Times New Roman" w:cs="Times New Roman" w:eastAsia="Times New Roman" w:hAnsi="Times New Roman"/>
          <w:sz w:val="22"/>
          <w:szCs w:val="22"/>
          <w:u w:val="single" w:color="auto"/>
          <w:color w:val="auto"/>
        </w:rPr>
        <w:t>Existing Agreement Outstanding Amounts</w:t>
      </w:r>
      <w:r>
        <w:rPr>
          <w:rFonts w:ascii="Times New Roman" w:cs="Times New Roman" w:eastAsia="Times New Roman" w:hAnsi="Times New Roman"/>
          <w:sz w:val="22"/>
          <w:szCs w:val="22"/>
          <w:color w:val="auto"/>
        </w:rPr>
        <w:t>”) and all agreements to indemnify such parties in connection with events or conditions arising or existing prior to the effective date of this Agreement and (ii) the security interest created under the Existing Agreement shall remain in full force and effect as security for such Existing Agreement Outstanding Amounts. Upon the effectiveness of this Agreement, each reference to the Existing Agreement in any other document, instrument or agreement shall mean and be a reference to this Agreement. Nothing contained herein, unless expressly herein stated to the contrary, is intended to amend, modify or otherwise affect any other instrument, document or agreement executed and/or delivered in connection with the Existing Agreement.</w:t>
      </w:r>
    </w:p>
    <w:p>
      <w:pPr>
        <w:spacing w:after="0" w:line="1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SPV desires to continue to sell, transfer and assign an undivided variable percentage interest in certain receivables, and the Investors desire to continue to acquire such undivided variable percentage interest, as such percentage interest shall be adjusted from time to time based upon, in part, reinvestment payments that are made by such Investors.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mutual agreements, provisions and covenants contained herein, the sufficiency of which is hereby acknowledged, the parties hereto agree as follows:</w:t>
      </w:r>
    </w:p>
    <w:p>
      <w:pPr>
        <w:spacing w:after="0" w:line="1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4" w:lineRule="exact"/>
        <w:rPr>
          <w:sz w:val="20"/>
          <w:szCs w:val="20"/>
          <w:color w:val="auto"/>
        </w:rPr>
      </w:pPr>
    </w:p>
    <w:p>
      <w:pPr>
        <w:jc w:val="right"/>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As used in this Agreement, the following terms shall have the following meanings: “</w:t>
      </w:r>
      <w:r>
        <w:rPr>
          <w:rFonts w:ascii="Times New Roman" w:cs="Times New Roman" w:eastAsia="Times New Roman" w:hAnsi="Times New Roman"/>
          <w:sz w:val="22"/>
          <w:szCs w:val="22"/>
          <w:u w:val="single" w:color="auto"/>
          <w:color w:val="auto"/>
        </w:rPr>
        <w:t>2026 Bank of America Assignment</w:t>
      </w:r>
      <w:r>
        <w:rPr>
          <w:rFonts w:ascii="Times New Roman" w:cs="Times New Roman" w:eastAsia="Times New Roman" w:hAnsi="Times New Roman"/>
          <w:sz w:val="22"/>
          <w:szCs w:val="22"/>
          <w:color w:val="auto"/>
        </w:rPr>
        <w:t>” means that certain Assignment, Assumption and Resignation Agreement dated as of May 11, 2026, by and among, BANA, as assignor, PNC Bank, National Association, as assignee, the SPV, the GP Originator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Servicer.</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means the Blocked Accounts, the Collection Account and each other account into which Collections may be deposited or received.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1" w:name="page42"/>
    <w:bookmarkEnd w:id="4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Fee Letter</w:t>
      </w:r>
      <w:r>
        <w:rPr>
          <w:rFonts w:ascii="Times New Roman" w:cs="Times New Roman" w:eastAsia="Times New Roman" w:hAnsi="Times New Roman"/>
          <w:sz w:val="22"/>
          <w:szCs w:val="22"/>
          <w:color w:val="auto"/>
        </w:rPr>
        <w:t>” means that certain Administrative Fee Letter dated May 11, 2026, by and between the SPV and the Agent.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Administrators</w:t>
      </w:r>
      <w:r>
        <w:rPr>
          <w:rFonts w:ascii="Times New Roman" w:cs="Times New Roman" w:eastAsia="Times New Roman" w:hAnsi="Times New Roman"/>
          <w:sz w:val="22"/>
          <w:szCs w:val="22"/>
          <w:color w:val="auto"/>
        </w:rPr>
        <w:t>” means the PNC Administrator, the Wells Administrator and any other Person that becomes a party to this Agreement as an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Adverse Claim</w:t>
      </w:r>
      <w:r>
        <w:rPr>
          <w:rFonts w:ascii="Times New Roman" w:cs="Times New Roman" w:eastAsia="Times New Roman" w:hAnsi="Times New Roman"/>
          <w:sz w:val="22"/>
          <w:szCs w:val="22"/>
          <w:color w:val="auto"/>
        </w:rPr>
        <w:t xml:space="preserve">” means a Lien on any Person’s assets or properties in favor of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“Adverse Claim” shall not include any “precautionary” financing statement filed by any Person not evidencing any such Lien.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Assets</w:t>
      </w:r>
      <w:r>
        <w:rPr>
          <w:rFonts w:ascii="Times New Roman" w:cs="Times New Roman" w:eastAsia="Times New Roman" w:hAnsi="Times New Roman"/>
          <w:sz w:val="22"/>
          <w:szCs w:val="22"/>
          <w:color w:val="auto"/>
        </w:rPr>
        <w:t>” means, collectively, (a) the Receivables, (b) the Related Security, (c) with respect to any Receivable, all rights and remedies of the SPV under the First Tier Agreement, together with all financing statements filed by the SPV against the Originators in connection therewith, (d) the Collection Account and all Blocked Accounts and all funds and investments therein and all of the SPV’s rights in the Blocked Account Agreements and (e) all proceeds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at any time, any other Person which, directly or indirectly, owns, is in control of, is controlled by, or is under common control with such Person at such time, in each case whether beneficially, or as a trustee, guardian or other fiduciary. A Person shall be deemed to control another Person if the controlling Person possesses, directly or indirectly, the power to direct or cause the direction of the management or policies of the other Person, whether through the ownership of voting securities or membership interests, by contract,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AFM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means PNC, in its capacity as agent for the Secured Parties, and any successor thereto appointed pursuant to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Persons</w:t>
      </w:r>
      <w:r>
        <w:rPr>
          <w:rFonts w:ascii="Times New Roman" w:cs="Times New Roman" w:eastAsia="Times New Roman" w:hAnsi="Times New Roman"/>
          <w:sz w:val="22"/>
          <w:szCs w:val="22"/>
          <w:color w:val="auto"/>
        </w:rPr>
        <w:t>” means, with respect to any Managing Agent or the Agent, such Person together with its Affiliates, and the officers, directors, employees, agents and attorneys-in-fact of such Persons and their respective Affiliates.</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Office</w:t>
      </w:r>
      <w:r>
        <w:rPr>
          <w:rFonts w:ascii="Times New Roman" w:cs="Times New Roman" w:eastAsia="Times New Roman" w:hAnsi="Times New Roman"/>
          <w:sz w:val="22"/>
          <w:szCs w:val="22"/>
          <w:color w:val="auto"/>
        </w:rPr>
        <w:t xml:space="preserve">” means the Agent’s address described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hereof, or such other address or account as the Agent may from time to time notify to the SPV, the Managing Agents and the Investors.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collectively, the Managing Agents and the Agent.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Unpaid Balance</w:t>
      </w:r>
      <w:r>
        <w:rPr>
          <w:rFonts w:ascii="Times New Roman" w:cs="Times New Roman" w:eastAsia="Times New Roman" w:hAnsi="Times New Roman"/>
          <w:sz w:val="22"/>
          <w:szCs w:val="22"/>
          <w:color w:val="auto"/>
        </w:rPr>
        <w:t xml:space="preserve">” means, as of any date of determination, (a) the sum of the Unpaid Balances of all Receivables which constitute Eligible Receivables as of such date of determination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solely if a Committed Investor has so elected pursuant to </w:t>
      </w:r>
      <w:r>
        <w:rPr>
          <w:rFonts w:ascii="Times New Roman" w:cs="Times New Roman" w:eastAsia="Times New Roman" w:hAnsi="Times New Roman"/>
          <w:sz w:val="22"/>
          <w:szCs w:val="22"/>
          <w:u w:val="single" w:color="auto"/>
          <w:color w:val="auto"/>
        </w:rPr>
        <w:t>clause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u w:val="single" w:color="auto"/>
          <w:color w:val="auto"/>
        </w:rPr>
        <w:t>(g)(ii)(y)</w:t>
      </w:r>
      <w:r>
        <w:rPr>
          <w:rFonts w:ascii="Times New Roman" w:cs="Times New Roman" w:eastAsia="Times New Roman" w:hAnsi="Times New Roman"/>
          <w:sz w:val="22"/>
          <w:szCs w:val="22"/>
          <w:color w:val="auto"/>
        </w:rPr>
        <w:t xml:space="preserve"> of the definition of “Eligible Receivable”, Offset Payables as of such date of determination.</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Unpaids</w:t>
      </w:r>
      <w:r>
        <w:rPr>
          <w:rFonts w:ascii="Times New Roman" w:cs="Times New Roman" w:eastAsia="Times New Roman" w:hAnsi="Times New Roman"/>
          <w:sz w:val="22"/>
          <w:szCs w:val="22"/>
          <w:color w:val="auto"/>
        </w:rPr>
        <w:t xml:space="preserve">” means, at any time, an amount equal to the sum of (a) the aggregate unpaid Yield accrued and to accrue through the end of all Rate Periods in existence at such time, (b) the Net Investment at such time and (c) all other amounts owed (whether or not then due and payable) hereunder and under the other Transaction Documents by the SPV and each Originator to the Agent, the Managing Agents, the Administrators, the Investors or the Indemnified Parties at such time, including, without limitation, any amounts owed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hereof.</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Agricultural Receivable</w:t>
      </w:r>
      <w:r>
        <w:rPr>
          <w:rFonts w:ascii="Times New Roman" w:cs="Times New Roman" w:eastAsia="Times New Roman" w:hAnsi="Times New Roman"/>
          <w:sz w:val="22"/>
          <w:szCs w:val="22"/>
          <w:color w:val="auto"/>
        </w:rPr>
        <w:t>” means any Eligible Receivable originated on or after April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any calendar year and payable on or prior to October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such calendar year to an Agricultural Receivable Eligible Obligor.</w:t>
      </w:r>
    </w:p>
    <w:p>
      <w:pPr>
        <w:spacing w:after="0" w:line="1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Agricultural Receivable Eligible Obligor</w:t>
      </w:r>
      <w:r>
        <w:rPr>
          <w:rFonts w:ascii="Times New Roman" w:cs="Times New Roman" w:eastAsia="Times New Roman" w:hAnsi="Times New Roman"/>
          <w:sz w:val="22"/>
          <w:szCs w:val="22"/>
          <w:color w:val="auto"/>
        </w:rPr>
        <w:t>” means any Eligible Obligor or their corporate successor listed on Schedule 1.01(a) to the Disclosure Letter hereto as such Schedule 1.01(a) to the Disclosure Letter may be updated from time to time at the request of the SPV and with the consent of the Agent.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Rate</w:t>
      </w:r>
      <w:r>
        <w:rPr>
          <w:rFonts w:ascii="Times New Roman" w:cs="Times New Roman" w:eastAsia="Times New Roman" w:hAnsi="Times New Roman"/>
          <w:sz w:val="22"/>
          <w:szCs w:val="22"/>
          <w:color w:val="auto"/>
        </w:rPr>
        <w:t xml:space="preserve">” means, for each day during a Rate Period for any Portion of Investment, an interest rate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equal to the applicable Yield Rate for such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pursuant to </w:t>
      </w:r>
      <w:r>
        <w:rPr>
          <w:rFonts w:ascii="Times New Roman" w:cs="Times New Roman" w:eastAsia="Times New Roman" w:hAnsi="Times New Roman"/>
          <w:sz w:val="22"/>
          <w:szCs w:val="22"/>
          <w:u w:val="single" w:color="auto"/>
          <w:color w:val="auto"/>
        </w:rPr>
        <w:t>Section 2.4(b)</w:t>
      </w:r>
      <w:r>
        <w:rPr>
          <w:rFonts w:ascii="Times New Roman" w:cs="Times New Roman" w:eastAsia="Times New Roman" w:hAnsi="Times New Roman"/>
          <w:sz w:val="22"/>
          <w:szCs w:val="22"/>
          <w:color w:val="auto"/>
        </w:rPr>
        <w:t xml:space="preserve">, (x) the applicable Managing Agent is unable to determine the applicable Yield Rate, (y) it becomes unlawful for any Investor to fund the purchase or maintenance of any Investment accruing Yield at the applicable Yield Rate or (z) a Benchmark Unavailability Period exists for the then-current Benchmark in accordance with </w:t>
      </w:r>
      <w:r>
        <w:rPr>
          <w:rFonts w:ascii="Times New Roman" w:cs="Times New Roman" w:eastAsia="Times New Roman" w:hAnsi="Times New Roman"/>
          <w:sz w:val="22"/>
          <w:szCs w:val="22"/>
          <w:u w:val="single" w:color="auto"/>
          <w:color w:val="auto"/>
        </w:rPr>
        <w:t>Section 2.18(e)</w:t>
      </w:r>
      <w:r>
        <w:rPr>
          <w:rFonts w:ascii="Times New Roman" w:cs="Times New Roman" w:eastAsia="Times New Roman" w:hAnsi="Times New Roman"/>
          <w:sz w:val="22"/>
          <w:szCs w:val="22"/>
          <w:color w:val="auto"/>
        </w:rPr>
        <w:t>, then the “</w:t>
      </w:r>
      <w:r>
        <w:rPr>
          <w:rFonts w:ascii="Times New Roman" w:cs="Times New Roman" w:eastAsia="Times New Roman" w:hAnsi="Times New Roman"/>
          <w:sz w:val="22"/>
          <w:szCs w:val="22"/>
          <w:u w:val="single" w:color="auto"/>
          <w:color w:val="auto"/>
        </w:rPr>
        <w:t>Alternate Rate</w:t>
      </w:r>
      <w:r>
        <w:rPr>
          <w:rFonts w:ascii="Times New Roman" w:cs="Times New Roman" w:eastAsia="Times New Roman" w:hAnsi="Times New Roman"/>
          <w:sz w:val="22"/>
          <w:szCs w:val="22"/>
          <w:color w:val="auto"/>
        </w:rPr>
        <w:t xml:space="preserve">” for each day in such Rate Period shall be an interest rate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equal to the Base Rate in effect for such Rate Period;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the applicable Yield Rate has been replaced by a Benchmark other than the applicable Yield Rate, then the “</w:t>
      </w:r>
      <w:r>
        <w:rPr>
          <w:rFonts w:ascii="Times New Roman" w:cs="Times New Roman" w:eastAsia="Times New Roman" w:hAnsi="Times New Roman"/>
          <w:sz w:val="22"/>
          <w:szCs w:val="22"/>
          <w:u w:val="single" w:color="auto"/>
          <w:color w:val="auto"/>
        </w:rPr>
        <w:t>Alternate Rate</w:t>
      </w:r>
      <w:r>
        <w:rPr>
          <w:rFonts w:ascii="Times New Roman" w:cs="Times New Roman" w:eastAsia="Times New Roman" w:hAnsi="Times New Roman"/>
          <w:sz w:val="22"/>
          <w:szCs w:val="22"/>
          <w:color w:val="auto"/>
        </w:rPr>
        <w:t xml:space="preserve">” for each day in such Rate Period shall be an interest rate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equal to the Benchmark in effect on such day. The “</w:t>
      </w:r>
      <w:r>
        <w:rPr>
          <w:rFonts w:ascii="Times New Roman" w:cs="Times New Roman" w:eastAsia="Times New Roman" w:hAnsi="Times New Roman"/>
          <w:sz w:val="22"/>
          <w:szCs w:val="22"/>
          <w:u w:val="single" w:color="auto"/>
          <w:color w:val="auto"/>
        </w:rPr>
        <w:t>Alternate Rate</w:t>
      </w:r>
      <w:r>
        <w:rPr>
          <w:rFonts w:ascii="Times New Roman" w:cs="Times New Roman" w:eastAsia="Times New Roman" w:hAnsi="Times New Roman"/>
          <w:sz w:val="22"/>
          <w:szCs w:val="22"/>
          <w:color w:val="auto"/>
        </w:rPr>
        <w:t xml:space="preserve">” for any date on or after the declaration or automatic occurrence of the Termination Date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be an interest rate equal to 2.00%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above the Base Rate for such day in such Rate Period. If the calculation of the Alternate Rate results in an Alternate Rate of less than the Floor, the Alternate Rate shall be deemed to be the Floor for all purposes hereunder.</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 the U.S. Foreign Corrupt Practices Act of 1977, as amended; (b) the U.K. Bribery Act 2010, as amended; and (c) any other applicable Law relating to anti-bribery or anti-corruption in any jurisdiction in which any Seller Party is located or doing business.</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Anti-Money Laundering Laws</w:t>
      </w:r>
      <w:r>
        <w:rPr>
          <w:rFonts w:ascii="Times New Roman" w:cs="Times New Roman" w:eastAsia="Times New Roman" w:hAnsi="Times New Roman"/>
          <w:sz w:val="21"/>
          <w:szCs w:val="21"/>
          <w:color w:val="auto"/>
        </w:rPr>
        <w:t>” means (a) the Bank Secrecy Act and the Uniting and Strengthening America by Providing Appropriate Tools Required to Intercept and Obstruct Terrorism (USA PATRIOT) Act of 2001, each as amended; (b) the U.K. Proceeds of Crime Act 2002, the Money Laundering Regulations 2017 and the Terrorist Asset-Freezing Act 2010, each</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22"/>
          <w:szCs w:val="22"/>
          <w:color w:val="auto"/>
        </w:rPr>
        <w:t>as amended; and (c) any other applicable Law relating to anti-money laundering and countering the financing of terrorism and related financial record keeping and reporting requirements in any jurisdiction in which any Seller Party is located or doing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Interest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Amount</w:t>
      </w:r>
      <w:r>
        <w:rPr>
          <w:rFonts w:ascii="Times New Roman" w:cs="Times New Roman" w:eastAsia="Times New Roman" w:hAnsi="Times New Roman"/>
          <w:sz w:val="22"/>
          <w:szCs w:val="22"/>
          <w:color w:val="auto"/>
        </w:rPr>
        <w:t xml:space="preserve">” means, with respect to a Committed Investor at the time of any assignment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w:t>
      </w:r>
      <w:r>
        <w:rPr>
          <w:rFonts w:ascii="Times New Roman" w:cs="Times New Roman" w:eastAsia="Times New Roman" w:hAnsi="Times New Roman"/>
          <w:sz w:val="22"/>
          <w:szCs w:val="22"/>
          <w:color w:val="auto"/>
        </w:rPr>
        <w:t xml:space="preserve">, an amount equal to the least of (a) such Committed Investor’s Pro Rata Share of the Net Investment requested by the Uncommitted Investor in its Investor Group to be assigned at such time; (b) such Committed Investor’s unused Commitment (minus the unrecovered principal amount of such Committed Investor’s investments in the Asset Interest pursuant to the Program Support Agreement to which it is a party); and (c) in the case of an assignment on or after the applicable Conduit Investment Termination Date, an amount equal to (A) the sum of such Committed Investor’s Pro Rata Share of the Investor Group Percentage of (i) the aggregate Unpaid Balance of the Receivables (other than Defaulted Receivables),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all Collections received by the Servicer but not yet remitted by the Servicer to the Agent,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any amounts in respect of Deemed Collections required to be paid by the SPV at such time.</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 Agreement</w:t>
      </w:r>
      <w:r>
        <w:rPr>
          <w:rFonts w:ascii="Times New Roman" w:cs="Times New Roman" w:eastAsia="Times New Roman" w:hAnsi="Times New Roman"/>
          <w:sz w:val="22"/>
          <w:szCs w:val="22"/>
          <w:color w:val="auto"/>
        </w:rPr>
        <w:t xml:space="preserve">” means an Assignment and Assumption Agreement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but without duplication,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as applicable,</w:t>
      </w:r>
    </w:p>
    <w:p>
      <w:pPr>
        <w:spacing w:after="0" w:line="39" w:lineRule="exact"/>
        <w:rPr>
          <w:sz w:val="20"/>
          <w:szCs w:val="20"/>
          <w:color w:val="auto"/>
        </w:rPr>
      </w:pPr>
    </w:p>
    <w:p>
      <w:pPr>
        <w:jc w:val="both"/>
        <w:ind w:firstLine="8"/>
        <w:spacing w:after="0" w:line="246" w:lineRule="auto"/>
        <w:tabs>
          <w:tab w:leader="none" w:pos="32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Benchmark is Daily 1M SOFR, one month (y) if such Benchmark is a term rate, any tenor for such Benchmark (or component thereof) that is or may be used for determining the length of a Rate Period pursuant to this Agreement or (z)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“Rate Period” pursuant to </w:t>
      </w:r>
      <w:r>
        <w:rPr>
          <w:rFonts w:ascii="Times New Roman" w:cs="Times New Roman" w:eastAsia="Times New Roman" w:hAnsi="Times New Roman"/>
          <w:sz w:val="22"/>
          <w:szCs w:val="22"/>
          <w:u w:val="single" w:color="auto"/>
          <w:color w:val="auto"/>
        </w:rPr>
        <w:t>Section 2.18(d)</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right="120" w:firstLine="729"/>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4" w:name="page45"/>
    <w:bookmarkEnd w:id="44"/>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BANA</w:t>
      </w:r>
      <w:r>
        <w:rPr>
          <w:rFonts w:ascii="Times New Roman" w:cs="Times New Roman" w:eastAsia="Times New Roman" w:hAnsi="Times New Roman"/>
          <w:sz w:val="22"/>
          <w:szCs w:val="22"/>
          <w:color w:val="auto"/>
        </w:rPr>
        <w:t>” means Bank of America, N.A.</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 Assignment</w:t>
      </w:r>
      <w:r>
        <w:rPr>
          <w:rFonts w:ascii="Times New Roman" w:cs="Times New Roman" w:eastAsia="Times New Roman" w:hAnsi="Times New Roman"/>
          <w:sz w:val="22"/>
          <w:szCs w:val="22"/>
          <w:color w:val="auto"/>
        </w:rPr>
        <w:t>” means that certain Assignment, Assumption and Resignation Agreement dated as of September 30, 2013, by and among, BANA, as assignor, PNC Bank, National Association, as assignee, the SPV, the GP Originator and the Servicer.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United States Code.</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Rate Period or, in connection with the calculation of the Default Rate, any day, a fluctuating rate per annum calculated as each day in such Rate Period (or, in connection with the calculation of the Default Rate, such day) equal to the highest of (a) the Federal Funds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0.50%, (b) the Prime Rate for such day, and (c) Daily 1M SOFR as published two U.S. Government Securities Business Days prior to such day (or if such day is not a Business Day, the immediately preceding Business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 Any change in such Prime Rate announced by PNC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(for the avoidance of doubt, only until the Benchmark Replacement has been determined pursuant to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 then the Base Rate shall be the greater of clauses (a) and (b) above and shall be determined without reference to clause (c) above.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Term SOFR Reference Rate, Daily 1M SOFR and Term SOFR;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and the related Benchmark Replacement Date have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means, with respect to any Benchmark Transition Event, the first alternative set forth in the order below that can be determined by the Agent for the applicable Benchmark Replacement Date: (1) Daily Simple SOFR or (2) the sum of: (a) the alternate benchmark rate that has been selected by the Agent and the SPV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at such time in the United States and (b)</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5" w:name="page46"/>
    <w:bookmarkEnd w:id="45"/>
    <w:p>
      <w:pPr>
        <w:jc w:val="both"/>
        <w:spacing w:after="0" w:line="257" w:lineRule="auto"/>
        <w:rPr>
          <w:sz w:val="20"/>
          <w:szCs w:val="20"/>
          <w:color w:val="auto"/>
        </w:rPr>
      </w:pPr>
      <w:r>
        <w:rPr>
          <w:rFonts w:ascii="Times New Roman" w:cs="Times New Roman" w:eastAsia="Times New Roman" w:hAnsi="Times New Roman"/>
          <w:sz w:val="22"/>
          <w:szCs w:val="22"/>
          <w:color w:val="auto"/>
        </w:rPr>
        <w:t>the related Benchmark Replacement Adjustment. If the Benchmark Replacement as determined pursuant to clause (1) or (2) above would be less than the Floor, the Benchmark Replacement will be deemed to be the Floor for the purposes of this Agreement and the other Transaction Documents.</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Adjustment</w:t>
      </w:r>
      <w:r>
        <w:rPr>
          <w:rFonts w:ascii="Times New Roman" w:cs="Times New Roman" w:eastAsia="Times New Roman" w:hAnsi="Times New Roman"/>
          <w:sz w:val="21"/>
          <w:szCs w:val="21"/>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SPV giving due consideration to</w:t>
      </w:r>
    </w:p>
    <w:p>
      <w:pPr>
        <w:spacing w:after="0" w:line="3" w:lineRule="exact"/>
        <w:rPr>
          <w:sz w:val="20"/>
          <w:szCs w:val="20"/>
          <w:color w:val="auto"/>
        </w:rPr>
      </w:pPr>
    </w:p>
    <w:p>
      <w:pPr>
        <w:jc w:val="both"/>
        <w:ind w:firstLine="8"/>
        <w:spacing w:after="0" w:line="262" w:lineRule="auto"/>
        <w:tabs>
          <w:tab w:leader="none" w:pos="29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and/or Portion of Investment for which the Yield is computed based upon the Daily 1M SOFR or Term SOFR, any technical, administrative or operational changes (including changes to the definition of “Base Rate,” the definition of “Business Day,” the definition of “Term SOFR,” the definition of “Daily 1M SOFR”, the definition of “U.S. Government Securities Business Day,” the definition of “Rate Period” or any similar or analogous definition (or the addition of a concept of “rate period”), timing and frequency of determining rates and making payments of interest, timing of borrowing requests or prepayment, conversion or continuation notices, the length of lookback periods, the applicability of breakage, and other technical, administrative or operational matters) that the Agent (in consultation with SPV) decides may be appropriate to reflect the adoption and implementation of such Benchmark and to permit the administration thereof by the Agent in a manner substantially consistent with market practice (or, if the Agent decides that adoption of any portion of such market practice is not administratively feasible or if the Agent (in consultation with the SPV) determines that no market practice for the administration of such Benchmark exists, in such other manner of administration as the Agent (in consultation with the SPV) decides is reasonably necessary in connection with the administration of this Agreement and the other Transaction Documents).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96" w:lineRule="exact"/>
        <w:rPr>
          <w:sz w:val="20"/>
          <w:szCs w:val="20"/>
          <w:color w:val="auto"/>
        </w:rPr>
      </w:pPr>
    </w:p>
    <w:p>
      <w:pPr>
        <w:jc w:val="both"/>
        <w:ind w:firstLine="656"/>
        <w:spacing w:after="0" w:line="252" w:lineRule="auto"/>
        <w:tabs>
          <w:tab w:leader="none" w:pos="118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92" w:lineRule="exact"/>
        <w:rPr>
          <w:rFonts w:ascii="Times New Roman" w:cs="Times New Roman" w:eastAsia="Times New Roman" w:hAnsi="Times New Roman"/>
          <w:sz w:val="22"/>
          <w:szCs w:val="22"/>
          <w:color w:val="auto"/>
        </w:rPr>
      </w:pPr>
    </w:p>
    <w:p>
      <w:pPr>
        <w:ind w:firstLine="656"/>
        <w:spacing w:after="0" w:line="271" w:lineRule="auto"/>
        <w:tabs>
          <w:tab w:leader="none" w:pos="113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has been determined and announced by the regulatory supervisor for the administrator of such Benchmark (or such component thereof) to be no longer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44" w:lineRule="exact"/>
        <w:rPr>
          <w:sz w:val="20"/>
          <w:szCs w:val="20"/>
          <w:color w:val="auto"/>
        </w:rPr>
      </w:pPr>
    </w:p>
    <w:p>
      <w:pPr>
        <w:jc w:val="both"/>
        <w:ind w:firstLine="656"/>
        <w:spacing w:after="0" w:line="250" w:lineRule="auto"/>
        <w:tabs>
          <w:tab w:leader="none" w:pos="119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3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85" w:lineRule="exact"/>
        <w:rPr>
          <w:rFonts w:ascii="Times New Roman" w:cs="Times New Roman" w:eastAsia="Times New Roman" w:hAnsi="Times New Roman"/>
          <w:sz w:val="22"/>
          <w:szCs w:val="22"/>
          <w:color w:val="auto"/>
        </w:rPr>
      </w:pPr>
    </w:p>
    <w:p>
      <w:pPr>
        <w:jc w:val="both"/>
        <w:ind w:firstLine="656"/>
        <w:spacing w:after="0" w:line="263" w:lineRule="auto"/>
        <w:tabs>
          <w:tab w:leader="none" w:pos="131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if a public statement or publication of information set forth above has occurred with respect to each then-current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Available Tenor of such Benchmark (or the published component used in the calculation thereof).</w:t>
      </w:r>
    </w:p>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pursuant to clauses (a) or (b) of that definition has occurred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if, at such time, no Benchmark Replacement has replaced the then-current Benchmark for all purposes hereunder and under any Transaction Document in accordance with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and (b) ending at the time that a Benchmark Replacement has replaced the then-current Benchmark for all purposes hereunder and under any Transaction Document in accordance with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complying with the Beneficial Ownership Rule, in form and substance reasonably acceptable to the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Rule</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Account</w:t>
      </w:r>
      <w:r>
        <w:rPr>
          <w:rFonts w:ascii="Times New Roman" w:cs="Times New Roman" w:eastAsia="Times New Roman" w:hAnsi="Times New Roman"/>
          <w:sz w:val="22"/>
          <w:szCs w:val="22"/>
          <w:color w:val="auto"/>
        </w:rPr>
        <w:t>” means an account and any associated lock-box maintained by the SPV at a Blocked Account Bank for the purpose of receiving Collections or concentrating Collections received, set forth in Schedule 4.1(s) to the Disclosure Letter, or any account added as a Blocked Account pursuant to and in accordance with Section 4.1(s) to the Disclosure Letter and which, if not maintained at and in the name of the Agent, is subject to a Blocked Account Agreement.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Account Agreement</w:t>
      </w:r>
      <w:r>
        <w:rPr>
          <w:rFonts w:ascii="Times New Roman" w:cs="Times New Roman" w:eastAsia="Times New Roman" w:hAnsi="Times New Roman"/>
          <w:sz w:val="22"/>
          <w:szCs w:val="22"/>
          <w:color w:val="auto"/>
        </w:rPr>
        <w:t>” means a deposit account control agreement among the SPV, the Agent and a Blocked Account Bank, in form and substance reasonably acceptable to the Agent.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Blocked Account Bank</w:t>
      </w:r>
      <w:r>
        <w:rPr>
          <w:rFonts w:ascii="Times New Roman" w:cs="Times New Roman" w:eastAsia="Times New Roman" w:hAnsi="Times New Roman"/>
          <w:sz w:val="22"/>
          <w:szCs w:val="22"/>
          <w:color w:val="auto"/>
        </w:rPr>
        <w:t xml:space="preserve">” means each of the banks set forth in Schedule 4.1(s) to the Disclosure Letter, as such Schedule 4.1(s) to the Disclosure Letter may be modified pursuant to </w:t>
      </w:r>
      <w:r>
        <w:rPr>
          <w:rFonts w:ascii="Times New Roman" w:cs="Times New Roman" w:eastAsia="Times New Roman" w:hAnsi="Times New Roman"/>
          <w:sz w:val="22"/>
          <w:szCs w:val="22"/>
          <w:u w:val="single" w:color="auto"/>
          <w:color w:val="auto"/>
        </w:rPr>
        <w:t>Section 4.1(s)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excluding Saturday, Sunday and any day on which commercial banks are authorized to close under the Laws of, or are in fact closed in, the state where the Agent’s Office is located, and, when used with respect to the determination of any Yield Rate or any notice with respect thereto, any such day which is also a U.S. Government Securities Business Day.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Period</w:t>
      </w:r>
      <w:r>
        <w:rPr>
          <w:rFonts w:ascii="Times New Roman" w:cs="Times New Roman" w:eastAsia="Times New Roman" w:hAnsi="Times New Roman"/>
          <w:sz w:val="22"/>
          <w:szCs w:val="22"/>
          <w:color w:val="auto"/>
        </w:rPr>
        <w:t>” means: (a) the period from and including the Closing Date to and including the next Month End Date; and (b) thereafter, each period from but excluding a Month End Date to and including the earlier to occur of the next Month End Date or the Final Payout Date.</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means, with respect to any Person for any period, any expenditure in respect of the purchase or other acquisition of any fixed or capital asset (excluding normal replacements and maintenance which are properly charged to current operations). For purposes of this definition, the purchase price of equipment that is purchased simultaneously with the trade-in of existing equipment or with insurance proceeds shall be included in Capital Expenditures only to the extent of the gross amount by which such purchase price exceeds the credit granted by the seller of such equipment for the equipment being traded in at such time or the amount of such insurance proceeds, as the case may be.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48" w:name="page49"/>
    <w:bookmarkEnd w:id="48"/>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w:t>
      </w:r>
      <w:r>
        <w:rPr>
          <w:rFonts w:ascii="Times New Roman" w:cs="Times New Roman" w:eastAsia="Times New Roman" w:hAnsi="Times New Roman"/>
          <w:sz w:val="22"/>
          <w:szCs w:val="22"/>
          <w:color w:val="auto"/>
        </w:rPr>
        <w:t>” of a Person means any lease of property by such Person as lessee which would be capitalized on a balance sheet of such Person prepared in accordance with GAAP.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Caraustar Consumer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Caraustar Fiber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Caraustar Industrial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Caraustar Mill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Cascade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 any failure by Greif, Inc. to beneficially own and control, directly or indirectly, 66</w:t>
      </w:r>
      <w:r>
        <w:rPr>
          <w:rFonts w:ascii="Times New Roman" w:cs="Times New Roman" w:eastAsia="Times New Roman" w:hAnsi="Times New Roman"/>
          <w:sz w:val="28"/>
          <w:szCs w:val="28"/>
          <w:color w:val="auto"/>
          <w:vertAlign w:val="superscript"/>
        </w:rPr>
        <w:t>2/3</w:t>
      </w:r>
      <w:r>
        <w:rPr>
          <w:rFonts w:ascii="Times New Roman" w:cs="Times New Roman" w:eastAsia="Times New Roman" w:hAnsi="Times New Roman"/>
          <w:sz w:val="22"/>
          <w:szCs w:val="22"/>
          <w:color w:val="auto"/>
        </w:rPr>
        <w:t>% or more of the total voting power and economic interests represented by the issued and outstanding Equity Interests of any Originator, (b) any failure by the GP Originator to directly own and control 100% of the total voting power and economic interests represented by the issued and outstanding Equity Interests of the SPV, or (c) any “Change of Control” as defined in any Senior Credit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Charged-Off Receivable</w:t>
      </w:r>
      <w:r>
        <w:rPr>
          <w:rFonts w:ascii="Times New Roman" w:cs="Times New Roman" w:eastAsia="Times New Roman" w:hAnsi="Times New Roman"/>
          <w:sz w:val="22"/>
          <w:szCs w:val="22"/>
          <w:color w:val="auto"/>
        </w:rPr>
        <w:t>” means a Receivable (a) as to which the Obligor thereof has become the subject of any Event of Bankruptcy, (b) which has been identified by the SPV, any Originator or the Servicer as uncollectible, or (c) which, consistent with the Credit and Collection Policy, would be written off as uncollectible, in any case, whether or not actually charged off on the books and records of the SPV or the Servicer.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May 11, 2026.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or any successor thereto.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Account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means, with respect to any Receivable, all cash collections and other cash proceeds of such Receivable, including (i) all scheduled interest and principal payments, and any applicable late fees, in any such case, received and collected on such Receivable, (ii) all proceeds received by virtue of the liquidation of such Receivable, net of expenses incurred in connection with such liquidation, (iii) all proceeds received (net of any such proceeds which are required by law to be paid to the applicable Obligor) under any damage, casualty or other insurance policy with respect to such Receivable, (iv) all cash proceeds of the Related Security related to or otherwise attributable to such Receivable, (v) any repurchase payment received with respect to such Receivable pursuant to any applicable recourse obligation of the Servicer or any Originator under this Agreement or any other Transaction Document and (vi) all Deemed Collections received with respect to such Receivable.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49" w:name="page50"/>
    <w:bookmarkEnd w:id="49"/>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Paper</w:t>
      </w:r>
      <w:r>
        <w:rPr>
          <w:rFonts w:ascii="Times New Roman" w:cs="Times New Roman" w:eastAsia="Times New Roman" w:hAnsi="Times New Roman"/>
          <w:sz w:val="22"/>
          <w:szCs w:val="22"/>
          <w:color w:val="auto"/>
        </w:rPr>
        <w:t>” means the promissory notes issued or to be issued by a Conduit Investor (or its related commercial paper issuer if such Conduit Investor does not itself issue commercial paper) in the commercial paper market.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with respect to each Committed Investor, as the context requires, (a) the commitment of such Committed Investor to make Investments and to pay Assignment Amounts in accordance herewith in an amount not to exceed the amount described in the following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and (b) the dollar amount set forth below such Committed Investor’s signature on the signature pages hereof under the heading “</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(or, in the case of a Committed Investor which becomes a party hereto pursuant to an Assignment and Assumption Agreement, as set forth in such Assignment and Assumption Agreement),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dollar amount of any Commitment or portion thereof assigned by such Committed Investor pursuant to an Assignment and Assumption Agreement,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dollar amount of any increase to such Committed Investor’s Commitment consented to by such Committed Investor prior to the time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set forth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if the Facility Limit is reduced, the aggregate of the Commitments of all the Committed Investors shall be reduced in a like amount and the Commitment of each Committed Investor shall be reduced in proportion to such reduction.</w:t>
      </w:r>
    </w:p>
    <w:p>
      <w:pPr>
        <w:spacing w:after="0" w:line="18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 Termination Date</w:t>
      </w:r>
      <w:r>
        <w:rPr>
          <w:rFonts w:ascii="Times New Roman" w:cs="Times New Roman" w:eastAsia="Times New Roman" w:hAnsi="Times New Roman"/>
          <w:sz w:val="21"/>
          <w:szCs w:val="21"/>
          <w:color w:val="auto"/>
        </w:rPr>
        <w:t>” means the earlier to occur of May 11, 2027, or such later date to which the Commitment Termination Date may be extended by the SPV, the Agent and the Committed Investors (each in their sole discretion).</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Investors</w:t>
      </w:r>
      <w:r>
        <w:rPr>
          <w:rFonts w:ascii="Times New Roman" w:cs="Times New Roman" w:eastAsia="Times New Roman" w:hAnsi="Times New Roman"/>
          <w:sz w:val="22"/>
          <w:szCs w:val="22"/>
          <w:color w:val="auto"/>
        </w:rPr>
        <w:t>” means (a) for the PNC Investor Group, the PNC Committed Investors, (b) for the Wells Investor Group, the Wells Committed Investors and (c) for any other Investor Group, each of the Persons executing this Agreement in the capacity of a “Committed Investor” for such Investor Group in accordance with the terms of this Agreement, and, in each case, successors and permitted assigns.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11.3(b)(ii)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Competitors</w:t>
      </w:r>
      <w:r>
        <w:rPr>
          <w:rFonts w:ascii="Times New Roman" w:cs="Times New Roman" w:eastAsia="Times New Roman" w:hAnsi="Times New Roman"/>
          <w:sz w:val="22"/>
          <w:szCs w:val="22"/>
          <w:color w:val="auto"/>
        </w:rPr>
        <w:t>” is defined in the definition of “Disqualified Investor”.</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Authority</w:t>
      </w:r>
      <w:r>
        <w:rPr>
          <w:rFonts w:ascii="Times New Roman" w:cs="Times New Roman" w:eastAsia="Times New Roman" w:hAnsi="Times New Roman"/>
          <w:sz w:val="22"/>
          <w:szCs w:val="22"/>
          <w:color w:val="auto"/>
        </w:rPr>
        <w:t>” means (a) any Official Body of the United States (including, but not limited to, the U.S. Department of the Treasury and its Office of Foreign Assets Control (“OFAC”) and the U.S. Department of State), the European Union, the United Kingdom, or Canada; (b) the United Nations Security Council; and (c) any other Official Body with jurisdiction over the parties to this Agreement.</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Percentage</w:t>
      </w:r>
      <w:r>
        <w:rPr>
          <w:rFonts w:ascii="Times New Roman" w:cs="Times New Roman" w:eastAsia="Times New Roman" w:hAnsi="Times New Roman"/>
          <w:sz w:val="22"/>
          <w:szCs w:val="22"/>
          <w:color w:val="auto"/>
        </w:rPr>
        <w:t>” means (i) for any Group A Obligor that is not a Special Obligor, 10.00%, (ii) for any Group B Obligor that is not a Special Obligor, 10.00%, (iii) for any Group C Obligor that is not a Special Obligor, 7.50%, (iv) for any Group D Obligor that is not a Special Obligor, 5.00%, and (v) for any Special Obligor, such Special Obligor’s Special Concentration Percentage.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50" w:name="page51"/>
    <w:bookmarkEnd w:id="5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Reserve</w:t>
      </w:r>
      <w:r>
        <w:rPr>
          <w:rFonts w:ascii="Times New Roman" w:cs="Times New Roman" w:eastAsia="Times New Roman" w:hAnsi="Times New Roman"/>
          <w:sz w:val="22"/>
          <w:szCs w:val="22"/>
          <w:color w:val="auto"/>
        </w:rPr>
        <w:t>” means, on any date of determination, the largest of: (a) the sum of the four largest Obligor Percentages of the Group D Obligors, (b) the sum of the two largest Obligor Percentages of the Group C Obligors, and (c) the sum of the largest Obligor Percentage of the Group B Obligors.</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Assignee</w:t>
      </w:r>
      <w:r>
        <w:rPr>
          <w:rFonts w:ascii="Times New Roman" w:cs="Times New Roman" w:eastAsia="Times New Roman" w:hAnsi="Times New Roman"/>
          <w:sz w:val="22"/>
          <w:szCs w:val="22"/>
          <w:color w:val="auto"/>
        </w:rPr>
        <w:t>” means, with respect to any Conduit Investor, any special purpose entity that finances its activities directly or indirectly through asset backed commercial paper and is administered by a Managing Agent or any of its Affiliates and designated by such Conduit Investor’s Managing Agent from time to time to accept an assignment from such Conduit Investor of all or a portion of the Net Investment.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Investment Termination Date</w:t>
      </w:r>
      <w:r>
        <w:rPr>
          <w:rFonts w:ascii="Times New Roman" w:cs="Times New Roman" w:eastAsia="Times New Roman" w:hAnsi="Times New Roman"/>
          <w:sz w:val="22"/>
          <w:szCs w:val="22"/>
          <w:color w:val="auto"/>
        </w:rPr>
        <w:t>” means, with respect to any Conduit Investor, the date of the delivery by such Conduit Investor to the SPV of written notice that such Conduit Investor elects, in its sole discretion, to permanently cease to fund Investments hereunder. For the avoidance of doubt, the delivery of any such written notice by such Conduit Investor shall not relieve or terminate the obligations of any Committed Investor hereunder to fund any Investment.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Conduit Investor</w:t>
      </w:r>
      <w:r>
        <w:rPr>
          <w:rFonts w:ascii="Times New Roman" w:cs="Times New Roman" w:eastAsia="Times New Roman" w:hAnsi="Times New Roman"/>
          <w:sz w:val="22"/>
          <w:szCs w:val="22"/>
          <w:color w:val="auto"/>
        </w:rPr>
        <w:t>” means any Person that shall become a party to this Agreement in the capacity as a “Conduit Investor” and any Conduit Assignee of any of the foregoing.</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means those obligations which are identified to continue as obligations under the Prior Assignments.</w:t>
      </w:r>
    </w:p>
    <w:p>
      <w:pPr>
        <w:spacing w:after="0" w:line="14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in relation to any Receivable, any and all contracts, instruments, agreements, leases, invoices, notes, or other writings pursuant to which such Receivable arises or which evidence such Receivable or under which an Obligor becomes or is obligated to make payment in respect of such Receivable.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 each Seller Party and each of its Subsidiaries and (b) each Person that, directly or indirectly, controls (as such term is defined by any Compliance Authority) a Person described in clause (a) above.</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Property</w:t>
      </w:r>
      <w:r>
        <w:rPr>
          <w:rFonts w:ascii="Times New Roman" w:cs="Times New Roman" w:eastAsia="Times New Roman" w:hAnsi="Times New Roman"/>
          <w:sz w:val="22"/>
          <w:szCs w:val="22"/>
          <w:color w:val="auto"/>
        </w:rPr>
        <w:t xml:space="preserve">” means any property that is a blocked or blockable property interest as defined by applicable Sanctions by virtue of being property: (a) required to be reported as blocked property under 31 C.F.R. </w:t>
      </w:r>
      <w:r>
        <w:rPr>
          <w:rFonts w:ascii="Arial" w:cs="Arial" w:eastAsia="Arial" w:hAnsi="Arial"/>
          <w:sz w:val="19"/>
          <w:szCs w:val="19"/>
          <w:color w:val="auto"/>
        </w:rPr>
        <w:t>§ 501.603</w:t>
      </w:r>
      <w:r>
        <w:rPr>
          <w:rFonts w:ascii="Times New Roman" w:cs="Times New Roman" w:eastAsia="Times New Roman" w:hAnsi="Times New Roman"/>
          <w:sz w:val="22"/>
          <w:szCs w:val="22"/>
          <w:color w:val="auto"/>
        </w:rPr>
        <w:t>, as amended; (b) owned, directly or indirectly, by, or due to or from, a Sanctioned Person subject to blocking or comprehensive Sanctions; (c) in which a Sanctioned Person subject to blocking or comprehensive Sanctions otherwise holds any interest; (d) located or originated in, or otherwise subject to restrictions due to its ties to, a Sanctioned Jurisdiction or (e) that otherwise would cause any violation by the Investors or Agent of any applicable International Trade Law if the Investors or Agent were to obtain an encumbrance on, lien on, pledge, or security interest in such property, or provide services in consideration of such property.</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CP Rate</w:t>
      </w:r>
      <w:r>
        <w:rPr>
          <w:rFonts w:ascii="Times New Roman" w:cs="Times New Roman" w:eastAsia="Times New Roman" w:hAnsi="Times New Roman"/>
          <w:sz w:val="22"/>
          <w:szCs w:val="22"/>
          <w:color w:val="auto"/>
        </w:rPr>
        <w:t>” means, for any Conduit Investor and for any Rate Period for any Portion of Investment (i) the per annum rate equivalent to the weighted average cost (as determined by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applicable Administrator and which shall include commissions of placement agents and dealers, incremental carrying costs incurred with respect to Commercial Paper of such Person maturing on dates other than those on which corresponding funds are received by such Conduit Investor, other borrowings by such Conduit Investor (other than under any Program Support Agreement) and any other costs associated with the issuance of Commercial Paper) of or related to the issuance of Commercial Paper that are allocated, in whole or in part, by the applicable Conduit Investor to fund or maintain such Portion of Investment (and which may be also allocated in part to the funding of other assets of such Conduit Investor);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any component of such rate is a discount rate, in calculating the “CP Rate” for such Portion of Investment for such Rate Period, the applicable Administrator shall for such component use the rate resulting from converting such discount rate to an interest bearing equivalent rate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in this Agreement or the other Transaction Documents to the contrary, the SPV agrees that any amounts payable to Conduit Investors in respect of Yield for any Rate Period with respect to any Portion of Investment funded by such Conduit Investors at the CP Rate shall include an amount equal to the portion of the face amount of the outstanding Commercial Paper issued to fund or maintain such Portion of Investment that corresponds to the portion of the proceeds of such Commercial Paper that was used to pay the interest component of maturing Commercial Paper issued to fund or maintain such Portion of Investment, to the extent that such Conduit Investors had not received payments of interest in respect of such interest component prior to the maturity date of such maturing Commercial Paper (for purposes of the foregoing, the “interest component” of Commercial Paper equals the excess of the face amount thereof over the net proceeds received by such Conduit Investor from the issuance of Commercial Paper, except that if such Commercial Paper is issued on an interest-bearing basis its “interest component” will equal the amount of interest accruing on such Commercial Paper through maturity) or (ii) any other rate designated as the “CP Rate” for such Conduit Investor in the document pursuant to which such Person becomes a party as a Conduit Investor to this Agreement, or any other writing or agreement provided by such Conduit Investor to the SPV, the Servicer and the Agent from time to time, and, in each case with respect to this clause (a)(ii), consented to as to the applicable “CP Rate” by the SPV (such consent not to be unreasonably withheld or delayed). Notwithstanding the foregoing, if the CP Rate as determined herein would be less than zero percent (0.00%), such rate shall be deemed to be zero percent (0.00%) for purposes of this Agreement.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xml:space="preserve">” means the Originators’ credit and collection policy or policies and practices relating to Receivables as in effect on the Closing Date and set forth in Exhibit A to the Disclosure Letter, as modified, from time to time, in compliance with </w:t>
      </w:r>
      <w:r>
        <w:rPr>
          <w:rFonts w:ascii="Times New Roman" w:cs="Times New Roman" w:eastAsia="Times New Roman" w:hAnsi="Times New Roman"/>
          <w:sz w:val="22"/>
          <w:szCs w:val="22"/>
          <w:u w:val="single" w:color="auto"/>
          <w:color w:val="auto"/>
        </w:rPr>
        <w:t>Sections 6.1(a)(vii)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1M SOFR</w:t>
      </w:r>
      <w:r>
        <w:rPr>
          <w:rFonts w:ascii="Times New Roman" w:cs="Times New Roman" w:eastAsia="Times New Roman" w:hAnsi="Times New Roman"/>
          <w:sz w:val="22"/>
          <w:szCs w:val="22"/>
          <w:color w:val="auto"/>
        </w:rPr>
        <w:t xml:space="preserve"> ” means, for any day, the rate per annum determined by the Agent (rounded upwards, at the Agent’s discretion, to the nearest 1/100th of 1%) equal to the Term SOFR Reference Rate for such day for a one (1) month period, as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Daily 1M SOFR, determined as provided above, would be less than the Floor, then Daily 1M SOFR shall be deemed to be the Floor. Such rate of interest will be adjusted automatically as of each Business Day based on changes in Daily 1M SOFR without notice to the SPV.</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52" w:name="page53"/>
    <w:bookmarkEnd w:id="5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with respect to any applicable determination date means the SOFR published on such date on the Federal Reserve Bank of New York’s website (or any successor source).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Days Sales Outstanding</w:t>
      </w:r>
      <w:r>
        <w:rPr>
          <w:rFonts w:ascii="Times New Roman" w:cs="Times New Roman" w:eastAsia="Times New Roman" w:hAnsi="Times New Roman"/>
          <w:sz w:val="22"/>
          <w:szCs w:val="22"/>
          <w:color w:val="auto"/>
        </w:rPr>
        <w:t xml:space="preserve">” means, for any Calculation Period, the ratio obtained by dividing (a) the aggregate Unpaid Balance of Receivables as of the most recent Month End Date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quotient obtained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(i) the aggregate amount of sales giving rise to Receivables originated during the consecutive four (4) month period ended on the most recent Month End Date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(ii) 121.</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any applicable liquidation, conservatorship, bankruptcy, moratorium, rearrangement, insolvency, fraudulent conveyance, reorganization, or similar Laws affecting the rights, remedies, or recourse of creditors generally, including the Bankruptcy Code and all amendments thereto, as are in effect from time to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Deemed Collections</w:t>
      </w:r>
      <w:r>
        <w:rPr>
          <w:rFonts w:ascii="Times New Roman" w:cs="Times New Roman" w:eastAsia="Times New Roman" w:hAnsi="Times New Roman"/>
          <w:sz w:val="21"/>
          <w:szCs w:val="21"/>
          <w:color w:val="auto"/>
        </w:rPr>
        <w:t xml:space="preserve">” means any Collections on any Receivable deemed to have been received pursuant to </w:t>
      </w:r>
      <w:r>
        <w:rPr>
          <w:rFonts w:ascii="Times New Roman" w:cs="Times New Roman" w:eastAsia="Times New Roman" w:hAnsi="Times New Roman"/>
          <w:sz w:val="21"/>
          <w:szCs w:val="21"/>
          <w:u w:val="single" w:color="auto"/>
          <w:color w:val="auto"/>
        </w:rPr>
        <w:t>Sections 2.6</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means, for any day, a per annum rate equal to the sum of (a) the Base Rate for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2.00%.</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Ratio</w:t>
      </w:r>
      <w:r>
        <w:rPr>
          <w:rFonts w:ascii="Times New Roman" w:cs="Times New Roman" w:eastAsia="Times New Roman" w:hAnsi="Times New Roman"/>
          <w:sz w:val="22"/>
          <w:szCs w:val="22"/>
          <w:color w:val="auto"/>
        </w:rPr>
        <w:t xml:space="preserve">” means, for any Calculation Period, the ratio (expressed as a percentage) computed as of the most recent Month End Date of (i) the aggregate Unpaid Balance of all Receivables that became Defaulted Receivables during such Calculation Period,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(ii) the aggregate amount of sales by the Originators giving rise to Receivables in the fourth month prior to the month of determination.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Defaulted Receivable</w:t>
      </w:r>
      <w:r>
        <w:rPr>
          <w:rFonts w:ascii="Times New Roman" w:cs="Times New Roman" w:eastAsia="Times New Roman" w:hAnsi="Times New Roman"/>
          <w:sz w:val="22"/>
          <w:szCs w:val="22"/>
          <w:color w:val="auto"/>
        </w:rPr>
        <w:t>” means a Receivable (a) as to which any payment, or part thereof, remains unpaid for 91 days or more from the original due date for such payment and (b) without any duplication, that is less than or equal to 90 days from the original due date and became a Charged-Off Receivable during any month.</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xml:space="preserve">” means, for any Calculation Period, the ratio (expressed as a percentage) equal to the quotient of (a) the aggregate Unpaid Balance of all Delinquent Receivables as of the most recent Month End Date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the aggregate Unpaid Balance of all Receivables as of the most recent Month End Date.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Delinquent Receivable</w:t>
      </w:r>
      <w:r>
        <w:rPr>
          <w:rFonts w:ascii="Times New Roman" w:cs="Times New Roman" w:eastAsia="Times New Roman" w:hAnsi="Times New Roman"/>
          <w:sz w:val="22"/>
          <w:szCs w:val="22"/>
          <w:color w:val="auto"/>
        </w:rPr>
        <w:t>” means a Receivable as to which any payment, or part thereof, remains unpaid for 91 days or more from the original due date for such payment.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 means, on any date, an amount equal to the sum, without duplication, of the aggregate reduction effected on such day in the Unpaid Balances of the Receivables attributable to any non-cash items including credits, rebates, billing errors, sales or similar taxes, cash discounts, volume discounts, allowances, disputes (it being understood that a Receivable is “subject to dispute” only if and to the extent that, in the reasonable good faith judgment of the applicable Originator (which shall be exercised in the ordinary course of business) such</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53" w:name="page54"/>
    <w:bookmarkEnd w:id="53"/>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Obligor’s obligation in respect of such Receivable is reduced on account of any performance failure on the part of such Originator), set-offs, counterclaims, chargebacks, returned or repossessed goods, sales and marketing discounts, warranties, any unapplied credit memos and other adjustments that are made in respect of Obligors;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write-offs related to an Obligor’s bad credit, inability to pay or insolvency shall not constitute Dilution, and contractual adjustments to the amounts payable by the Obligor that are eliminated from the Receivables balance sold through a reduction in purchase price shall not constitute Dilution.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Horizon Ratio</w:t>
      </w:r>
      <w:r>
        <w:rPr>
          <w:rFonts w:ascii="Times New Roman" w:cs="Times New Roman" w:eastAsia="Times New Roman" w:hAnsi="Times New Roman"/>
          <w:sz w:val="22"/>
          <w:szCs w:val="22"/>
          <w:color w:val="auto"/>
        </w:rPr>
        <w:t xml:space="preserve">” means, for any Calculation Period, the ratio (expressed as a percentage) computed as of the most recent Month End Date by </w:t>
      </w:r>
      <w:r>
        <w:rPr>
          <w:rFonts w:ascii="Times New Roman" w:cs="Times New Roman" w:eastAsia="Times New Roman" w:hAnsi="Times New Roman"/>
          <w:sz w:val="22"/>
          <w:szCs w:val="22"/>
          <w:u w:val="single" w:color="auto"/>
          <w:color w:val="auto"/>
        </w:rPr>
        <w:t>dividing</w:t>
      </w:r>
      <w:r>
        <w:rPr>
          <w:rFonts w:ascii="Times New Roman" w:cs="Times New Roman" w:eastAsia="Times New Roman" w:hAnsi="Times New Roman"/>
          <w:sz w:val="22"/>
          <w:szCs w:val="22"/>
          <w:color w:val="auto"/>
        </w:rPr>
        <w:t xml:space="preserve"> (a) the aggregate initial Unpaid Balance of sales by the Originators giving rise to Receivables during such Calculation Period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Net Pool Balance as of such Month End Date.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Ratio</w:t>
      </w:r>
      <w:r>
        <w:rPr>
          <w:rFonts w:ascii="Times New Roman" w:cs="Times New Roman" w:eastAsia="Times New Roman" w:hAnsi="Times New Roman"/>
          <w:sz w:val="22"/>
          <w:szCs w:val="22"/>
          <w:color w:val="auto"/>
        </w:rPr>
        <w:t xml:space="preserve">” means, for any Calculation Period, the ratio (expressed as a percentage) computed as of the most recent Month End Date by dividing (a) the aggregate Dilution incurred during such period, </w:t>
      </w:r>
      <w:r>
        <w:rPr>
          <w:rFonts w:ascii="Times New Roman" w:cs="Times New Roman" w:eastAsia="Times New Roman" w:hAnsi="Times New Roman"/>
          <w:sz w:val="22"/>
          <w:szCs w:val="22"/>
          <w:u w:val="single" w:color="auto"/>
          <w:color w:val="auto"/>
        </w:rPr>
        <w:t>by</w:t>
      </w:r>
      <w:r>
        <w:rPr>
          <w:rFonts w:ascii="Times New Roman" w:cs="Times New Roman" w:eastAsia="Times New Roman" w:hAnsi="Times New Roman"/>
          <w:sz w:val="22"/>
          <w:szCs w:val="22"/>
          <w:color w:val="auto"/>
        </w:rPr>
        <w:t xml:space="preserve"> (b) the aggregate amount of sales by the Originators giving rise to Receivables in the month prior to the month of determination.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Reserve Ratio</w:t>
      </w:r>
      <w:r>
        <w:rPr>
          <w:rFonts w:ascii="Times New Roman" w:cs="Times New Roman" w:eastAsia="Times New Roman" w:hAnsi="Times New Roman"/>
          <w:sz w:val="22"/>
          <w:szCs w:val="22"/>
          <w:color w:val="auto"/>
        </w:rPr>
        <w:t>” means, for any Calculation Period, a percentage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147955</wp:posOffset>
            </wp:positionV>
            <wp:extent cx="3771900" cy="728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19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422" w:right="339" w:bottom="1440" w:gutter="0" w:footer="0" w:header="0"/>
        </w:sectPr>
      </w:pPr>
    </w:p>
    <w:p>
      <w:pPr>
        <w:spacing w:after="0" w:line="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SF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Stress Factor;</w:t>
      </w:r>
    </w:p>
    <w:p>
      <w:pPr>
        <w:spacing w:after="0" w:line="194" w:lineRule="exact"/>
        <w:rPr>
          <w:sz w:val="20"/>
          <w:szCs w:val="20"/>
          <w:color w:val="auto"/>
        </w:rPr>
      </w:pPr>
    </w:p>
    <w:p>
      <w:pPr>
        <w:sectPr>
          <w:pgSz w:w="11900" w:h="16838" w:orient="portrait"/>
          <w:cols w:equalWidth="0" w:num="2">
            <w:col w:w="2840" w:space="220"/>
            <w:col w:w="8180"/>
          </w:cols>
          <w:pgMar w:left="320" w:top="1422"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22"/>
          <w:szCs w:val="22"/>
          <w:color w:val="auto"/>
        </w:rPr>
        <w:t>EDR</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Expected Dilution Ratio;</w:t>
      </w:r>
    </w:p>
    <w:p>
      <w:pPr>
        <w:spacing w:after="0" w:line="200" w:lineRule="exact"/>
        <w:rPr>
          <w:sz w:val="20"/>
          <w:szCs w:val="20"/>
          <w:color w:val="auto"/>
        </w:rPr>
      </w:pPr>
    </w:p>
    <w:p>
      <w:pPr>
        <w:sectPr>
          <w:pgSz w:w="11900" w:h="16838" w:orient="portrait"/>
          <w:cols w:equalWidth="0" w:num="2">
            <w:col w:w="3040" w:space="200"/>
            <w:col w:w="8000"/>
          </w:cols>
          <w:pgMar w:left="320" w:top="1422" w:right="339" w:bottom="1440" w:gutter="0" w:footer="0" w:header="0"/>
          <w:type w:val="continuous"/>
        </w:sectPr>
      </w:pPr>
    </w:p>
    <w:p>
      <w:pPr>
        <w:spacing w:after="0" w:line="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Dilution Spike; and</w:t>
      </w:r>
    </w:p>
    <w:p>
      <w:pPr>
        <w:spacing w:after="0" w:line="200" w:lineRule="exact"/>
        <w:rPr>
          <w:sz w:val="20"/>
          <w:szCs w:val="20"/>
          <w:color w:val="auto"/>
        </w:rPr>
      </w:pPr>
    </w:p>
    <w:p>
      <w:pPr>
        <w:sectPr>
          <w:pgSz w:w="11900" w:h="16838" w:orient="portrait"/>
          <w:cols w:equalWidth="0" w:num="2">
            <w:col w:w="2880" w:space="220"/>
            <w:col w:w="8140"/>
          </w:cols>
          <w:pgMar w:left="320" w:top="1422" w:right="339" w:bottom="1440" w:gutter="0" w:footer="0" w:header="0"/>
          <w:type w:val="continuous"/>
        </w:sectPr>
      </w:pPr>
    </w:p>
    <w:p>
      <w:pPr>
        <w:spacing w:after="0" w:line="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DHR</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Dilution Horizon Ratio.</w:t>
      </w:r>
    </w:p>
    <w:p>
      <w:pPr>
        <w:spacing w:after="0" w:line="200" w:lineRule="exact"/>
        <w:rPr>
          <w:sz w:val="20"/>
          <w:szCs w:val="20"/>
          <w:color w:val="auto"/>
        </w:rPr>
      </w:pPr>
    </w:p>
    <w:p>
      <w:pPr>
        <w:sectPr>
          <w:pgSz w:w="11900" w:h="16838" w:orient="portrait"/>
          <w:cols w:equalWidth="0" w:num="2">
            <w:col w:w="3060" w:space="220"/>
            <w:col w:w="7960"/>
          </w:cols>
          <w:pgMar w:left="320" w:top="1422" w:right="339" w:bottom="1440" w:gutter="0" w:footer="0" w:header="0"/>
          <w:type w:val="continuous"/>
        </w:sectPr>
      </w:pPr>
    </w:p>
    <w:p>
      <w:pPr>
        <w:spacing w:after="0" w:line="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 Spike</w:t>
      </w:r>
      <w:r>
        <w:rPr>
          <w:rFonts w:ascii="Times New Roman" w:cs="Times New Roman" w:eastAsia="Times New Roman" w:hAnsi="Times New Roman"/>
          <w:sz w:val="22"/>
          <w:szCs w:val="22"/>
          <w:color w:val="auto"/>
        </w:rPr>
        <w:t>” means, as of any date of determination, the highest average Dilution Ratio for any two consecutive calendar months during the immediately preceding 12 calendar months.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Disclosure Letter</w:t>
      </w:r>
      <w:r>
        <w:rPr>
          <w:rFonts w:ascii="Times New Roman" w:cs="Times New Roman" w:eastAsia="Times New Roman" w:hAnsi="Times New Roman"/>
          <w:sz w:val="22"/>
          <w:szCs w:val="22"/>
          <w:color w:val="auto"/>
        </w:rPr>
        <w:t>” means the second amended and restated Disclosure Letter, dated as of May 11, 2026, among the SPV and the Originators and agreed and acknowledged by the Agent and the Investors.</w:t>
      </w:r>
    </w:p>
    <w:p>
      <w:pPr>
        <w:spacing w:after="0" w:line="14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Investor</w:t>
      </w:r>
      <w:r>
        <w:rPr>
          <w:rFonts w:ascii="Times New Roman" w:cs="Times New Roman" w:eastAsia="Times New Roman" w:hAnsi="Times New Roman"/>
          <w:sz w:val="21"/>
          <w:szCs w:val="21"/>
          <w:color w:val="auto"/>
        </w:rPr>
        <w:t>” means, on any date, (a) Persons that are specifically identified by the SPV on Schedule 1.01(b) to the Disclosure Letter (as such schedule may be supplemented or updated from time to time by the SPV in accordance with this definition) prior to such date, (b) Persons that are determined by the SPV to be competitors of the Greif, Inc. or its Subsidiaries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type w:val="continuous"/>
        </w:sectPr>
      </w:pPr>
    </w:p>
    <w:bookmarkStart w:id="54" w:name="page55"/>
    <w:bookmarkEnd w:id="54"/>
    <w:p>
      <w:pPr>
        <w:jc w:val="both"/>
        <w:spacing w:after="0" w:line="247" w:lineRule="auto"/>
        <w:rPr>
          <w:sz w:val="20"/>
          <w:szCs w:val="20"/>
          <w:color w:val="auto"/>
        </w:rPr>
      </w:pPr>
      <w:r>
        <w:rPr>
          <w:rFonts w:ascii="Times New Roman" w:cs="Times New Roman" w:eastAsia="Times New Roman" w:hAnsi="Times New Roman"/>
          <w:sz w:val="22"/>
          <w:szCs w:val="22"/>
          <w:color w:val="auto"/>
        </w:rPr>
        <w:t>and which are specifically identified by the SPV by providing the Agent with a written supplement or update to Schedule 1.01(b) to the Disclosure Letter (“</w:t>
      </w:r>
      <w:r>
        <w:rPr>
          <w:rFonts w:ascii="Times New Roman" w:cs="Times New Roman" w:eastAsia="Times New Roman" w:hAnsi="Times New Roman"/>
          <w:sz w:val="22"/>
          <w:szCs w:val="22"/>
          <w:u w:val="single" w:color="auto"/>
          <w:color w:val="auto"/>
        </w:rPr>
        <w:t>Competitors</w:t>
      </w:r>
      <w:r>
        <w:rPr>
          <w:rFonts w:ascii="Times New Roman" w:cs="Times New Roman" w:eastAsia="Times New Roman" w:hAnsi="Times New Roman"/>
          <w:sz w:val="22"/>
          <w:szCs w:val="22"/>
          <w:color w:val="auto"/>
        </w:rPr>
        <w:t xml:space="preserve">”) prior to such date, (c) in the case of the foregoing clauses (a) and (b), any of such Persons’ Affiliates to the extent such Affiliates (i)(A) are clearly identifiable as Affiliates based solely on the similarity of such Affiliates’ names and (B) are not bona fide investment funds, or (ii)(A) upon reasonable written notice to the Agent, are specifically identified as Affiliates in a written supplement or update to Schedule 1.01(b) to the Disclosure Letter and (B) are not bona fide investment funds;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initial Disqualified Investors shall be specifically identified as such in Schedule 1.01(b) to the Disclosure Letter and (y) any supplements or other updates to Schedule 1.01(b) to the Disclosure Letter made thereto from time to time after the Closing Date shall become effective five (5) Business Days after delivery to the Agent and the Investors (but which shall not apply retroactively to disqualify any parties that have previously acquired an interest in the Investments, whether by assignment or participation) of such supplement or update to Schedule 1.01(b) to the Disclosure Letter;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notwithstanding the foregoing, so long as PNC is the Agent, the Agent shall have the right, and the SPV hereby expressly authorizes the Agent, to (A) post the list of Disqualified Investors provided by the SPV and any updates thereto from time to time (collectively, the “</w:t>
      </w:r>
      <w:r>
        <w:rPr>
          <w:rFonts w:ascii="Times New Roman" w:cs="Times New Roman" w:eastAsia="Times New Roman" w:hAnsi="Times New Roman"/>
          <w:sz w:val="22"/>
          <w:szCs w:val="22"/>
          <w:u w:val="single" w:color="auto"/>
          <w:color w:val="auto"/>
        </w:rPr>
        <w:t>DQ List</w:t>
      </w:r>
      <w:r>
        <w:rPr>
          <w:rFonts w:ascii="Times New Roman" w:cs="Times New Roman" w:eastAsia="Times New Roman" w:hAnsi="Times New Roman"/>
          <w:sz w:val="22"/>
          <w:szCs w:val="22"/>
          <w:color w:val="auto"/>
        </w:rPr>
        <w:t>”) on the Platform, including that portion of the Platform that is designated for “public side” Investors and/or (B) provide the DQ List to each Investor requesting the same.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States.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Investments</w:t>
      </w:r>
      <w:r>
        <w:rPr>
          <w:rFonts w:ascii="Times New Roman" w:cs="Times New Roman" w:eastAsia="Times New Roman" w:hAnsi="Times New Roman"/>
          <w:sz w:val="22"/>
          <w:szCs w:val="22"/>
          <w:color w:val="auto"/>
        </w:rPr>
        <w:t xml:space="preserve">” means any of the following investments denominated and payable solely in Dollars: (a) readily marketable debt securities issued by, or the full and timely payment of which is guaranteed by, the full faith and credit of, the federal government of the United States, (b) insured demand deposits, time deposits and certificates of deposit of any commercial bank rated “A-1+” by S&amp;P, “P-1” by Moody’s and “A-1+” by Fitch (if rated by Fitch), (c) no load money market funds rated in the highest ratings category by each of the Rating Agencies (without the “r” symbol attached to any such rating by S&amp;P), and (d) commercial paper of any corporation incorporated under the laws of the United States or any political subdivision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commercial paper is rated “A-1+” by S&amp;P, “P-1” by Moody’s and “A-1+” by Fitch (if rated by Fitch) (without the “r” symbol attached to any such rating by S&amp;P).</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Obligor</w:t>
      </w:r>
      <w:r>
        <w:rPr>
          <w:rFonts w:ascii="Times New Roman" w:cs="Times New Roman" w:eastAsia="Times New Roman" w:hAnsi="Times New Roman"/>
          <w:sz w:val="22"/>
          <w:szCs w:val="22"/>
          <w:color w:val="auto"/>
        </w:rPr>
        <w:t>” means, at any time, any Obligor:</w:t>
      </w:r>
    </w:p>
    <w:p>
      <w:pPr>
        <w:spacing w:after="0" w:line="220" w:lineRule="exact"/>
        <w:rPr>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an Affiliate or employee of any of the Originators, SPV or Servicer;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an Official Body;</w:t>
      </w:r>
    </w:p>
    <w:p>
      <w:pPr>
        <w:spacing w:after="0" w:line="233"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in the case of any Obligor of a Receivable originated by a Lee Originator or Lee Iowa Originator, has not made any payment into an Existing Lee Account during the immediately prior Calculation Period;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 Sanctioned Person; and</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have more than 50.0% of Defaulted Receivables with respect to the Receivables owed by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Obligor.</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Receivable</w:t>
      </w:r>
      <w:r>
        <w:rPr>
          <w:rFonts w:ascii="Times New Roman" w:cs="Times New Roman" w:eastAsia="Times New Roman" w:hAnsi="Times New Roman"/>
          <w:sz w:val="22"/>
          <w:szCs w:val="22"/>
          <w:color w:val="auto"/>
        </w:rPr>
        <w:t>” means, at any time, any Receivable:</w:t>
      </w:r>
    </w:p>
    <w:p>
      <w:pPr>
        <w:spacing w:after="0" w:line="220" w:lineRule="exact"/>
        <w:rPr>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originated by an Originator on an arm’s length basis in the ordinary course of its business;</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with respect to which each of the applicable Originator and the SPV has performed all obligations required to be performed by it thereunder or under any related Contract, including shipment of the merchandise and/or the performance of the services purchased thereunder; (ii) which has been billed to the relevant Obligor; and (iii) which, according to the Contract related thereto, is required to be paid in full within 120 days of the original billing date therefor unless such Receivable is an Agricultural Receivable,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Agent may deem any Agricultural Receivable to be ineligible at any time in its discretion upon twenty (20) days advance written notice to the SPV;</w:t>
      </w:r>
    </w:p>
    <w:p>
      <w:pPr>
        <w:spacing w:after="0" w:line="181"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was originated in accordance with and satisfies in all material respects all applicable requirements of the Credit and Collection Policy;</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has been sold or contributed to the SPV pursuant to (and in accordance with) the First Tier Agreement and to which the SPV has good and marketable title, free and clear of all Adverse Claims;</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of which has been directed to make all payments to a Blocked Account;</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94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assignable without the consent of, or notice to, the Obligor thereunder unless such consent has been obtained and is in effect or such notice has been given;</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 together with the related Contract, is in full force and effect and constitutes the legal, valid and binding obligation of the related Obligor enforceable against such Obligor in accordance with its terms and (ii) is not subject to any asserted litigation, dispute, offset, holdback, counterclaim or other defense;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offsets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holdbacks included in the calculation of Offset Payable, (x) at any time no Trigger Event exists, such holdbacks and offsets shall not render all or any portion of such Receivable ineligible pursuant to this </w:t>
      </w:r>
      <w:r>
        <w:rPr>
          <w:rFonts w:ascii="Times New Roman" w:cs="Times New Roman" w:eastAsia="Times New Roman" w:hAnsi="Times New Roman"/>
          <w:sz w:val="22"/>
          <w:szCs w:val="22"/>
          <w:u w:val="single" w:color="auto"/>
          <w:color w:val="auto"/>
        </w:rPr>
        <w:t>clause (g)(ii)</w:t>
      </w:r>
      <w:r>
        <w:rPr>
          <w:rFonts w:ascii="Times New Roman" w:cs="Times New Roman" w:eastAsia="Times New Roman" w:hAnsi="Times New Roman"/>
          <w:sz w:val="22"/>
          <w:szCs w:val="22"/>
          <w:color w:val="auto"/>
        </w:rPr>
        <w:t xml:space="preserve"> and (y) at any time a Trigger Event exists, any Committed Investor may elect, in its sole discretion, which election shall be binding on each other Investor, to deem the portion of such Receivable that is the subject of such offset or holdback as ineligible pursuant to the terms of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denominated and payable only in Dollars in the United States;</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 Delinquent Receivable or Defaulted Receivable;</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 Charged-Off Receivable;</w:t>
      </w:r>
    </w:p>
    <w:p>
      <w:pPr>
        <w:spacing w:after="0" w:line="23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has not been compromised, adjusted or modified (including by the extension of time for payment or the granting of any discounts, allowances or credits) in a manner not otherwise authorized by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such portion of such Receivable that is the subject of such compromise, adjustment or modification shall be deemed to be ineligible pursuant to the terms of this </w:t>
      </w:r>
      <w:r>
        <w:rPr>
          <w:rFonts w:ascii="Times New Roman" w:cs="Times New Roman" w:eastAsia="Times New Roman" w:hAnsi="Times New Roman"/>
          <w:sz w:val="22"/>
          <w:szCs w:val="22"/>
          <w:u w:val="single" w:color="auto"/>
          <w:color w:val="auto"/>
        </w:rPr>
        <w:t>clause (k)</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an “account” within the meaning of Article 9 of the UCC of all applicable jurisdictions and is not evidenced by instruments or chattel paper;</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together with the Contract related thereto, does not contravene in any material respect any Laws applicable thereto (including Laws relating to truth in lending, fair credit billing, fair credit reporting, equal credit opportunity, fair debt collection practices and privacy);</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of which under the First Tier Agreement by the applicable Originator to the SPV and hereunder by the SPV to the Agent does not violate, conflict or contravene any applicable Law or any enforceable contractual or other restriction, limitation or encumbrance;</w:t>
      </w:r>
    </w:p>
    <w:p>
      <w:pPr>
        <w:spacing w:after="0" w:line="167"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is not a Receivable which arose as a result of the sale of consigned inventory owned by a third party or a sale in which the Originator acted as agent of any other Person or otherwise not as principal;</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has not been selected for funding hereunder pursuant to any “adverse selection”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procedures;</w:t>
      </w:r>
    </w:p>
    <w:p>
      <w:pPr>
        <w:spacing w:after="0" w:line="20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 does not arise under a Contract which contains a confidentiality provision that purports to restrict the ability of the SPV or its assignees to exercise their rights under such Contract or the First Tier Agreement, including, without limitation, the SPV’s or its assignees’ right to review such Contract</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(together with the Related Security related thereto) has been the subject of either a valid transfer and assignment from, or the grant of a first priority perfected security interest therein by, the SPV to the Agent, on behalf of the Investors, of all of the SPV’s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57" w:name="page58"/>
    <w:bookmarkEnd w:id="57"/>
    <w:p>
      <w:pPr>
        <w:ind w:right="20"/>
        <w:spacing w:after="0" w:line="271" w:lineRule="auto"/>
        <w:rPr>
          <w:sz w:val="20"/>
          <w:szCs w:val="20"/>
          <w:color w:val="auto"/>
        </w:rPr>
      </w:pPr>
      <w:r>
        <w:rPr>
          <w:rFonts w:ascii="Times New Roman" w:cs="Times New Roman" w:eastAsia="Times New Roman" w:hAnsi="Times New Roman"/>
          <w:sz w:val="22"/>
          <w:szCs w:val="22"/>
          <w:color w:val="auto"/>
        </w:rPr>
        <w:t>right, title and interest therein, effective until the Final Payout Date (unless repurchased by the SPV at an earlier date pursuant to this Agreement); and</w:t>
      </w:r>
    </w:p>
    <w:p>
      <w:pPr>
        <w:spacing w:after="0" w:line="158" w:lineRule="exact"/>
        <w:rPr>
          <w:sz w:val="20"/>
          <w:szCs w:val="20"/>
          <w:color w:val="auto"/>
        </w:rPr>
      </w:pPr>
    </w:p>
    <w:p>
      <w:pPr>
        <w:ind w:left="1960" w:hanging="656"/>
        <w:spacing w:after="0"/>
        <w:tabs>
          <w:tab w:leader="none" w:pos="19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 of which is an Eligible Obligor.</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any and all shares, interests, participations or other equivalents, including membership interests (however designated, whether voting or non-voting or whether certificated or not certificated), of capital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date hereof or issued thereafter</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U.S. Employee Retirement Income Security Act of 1974, as amended, and any regulations promulgated and rulings issued thereunder.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with respect to any Person, any corporation, partnership, trust, sole proprietorship or trade or business which, together with such Person, is treated as a single employer under Section 414(b) or (c) of the Code or, with respect to any liability for contributions under Section 302(b) of ERISA, Section 414(m) or Section 414(o) of the Code.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Bankruptcy</w:t>
      </w:r>
      <w:r>
        <w:rPr>
          <w:rFonts w:ascii="Times New Roman" w:cs="Times New Roman" w:eastAsia="Times New Roman" w:hAnsi="Times New Roman"/>
          <w:sz w:val="21"/>
          <w:szCs w:val="21"/>
          <w:color w:val="auto"/>
        </w:rPr>
        <w:t>” means, with respect to any Person, (a) that such Person becomes unable or admits in writing its inability or fails generally to pay its debts as they become due; (b) that any writ or warrant of attachment or execution or similar process is issued or levied against all or any material part of the property of any such Person and is not released, vacated or fully bonded within thirty (30) days after its issue or levy; (c) that such Person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(d) that any receiver, trustee, custodian, conservator, liquidator, rehabilitator or similar officer is appointed without the application or consent of such Person and the appointment continues undischarged or unstayed for sixty</w:t>
      </w:r>
    </w:p>
    <w:p>
      <w:pPr>
        <w:spacing w:after="0" w:line="2" w:lineRule="exact"/>
        <w:rPr>
          <w:sz w:val="20"/>
          <w:szCs w:val="20"/>
          <w:color w:val="auto"/>
        </w:rPr>
      </w:pPr>
    </w:p>
    <w:p>
      <w:pPr>
        <w:jc w:val="both"/>
        <w:ind w:firstLine="8"/>
        <w:spacing w:after="0" w:line="245" w:lineRule="auto"/>
        <w:tabs>
          <w:tab w:leader="none" w:pos="42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or (e) that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Concentration</w:t>
      </w:r>
      <w:r>
        <w:rPr>
          <w:rFonts w:ascii="Times New Roman" w:cs="Times New Roman" w:eastAsia="Times New Roman" w:hAnsi="Times New Roman"/>
          <w:sz w:val="22"/>
          <w:szCs w:val="22"/>
          <w:color w:val="auto"/>
        </w:rPr>
        <w:t>” means, at any time, the sum of the following (without duplication):</w:t>
      </w:r>
    </w:p>
    <w:p>
      <w:pPr>
        <w:spacing w:after="0" w:line="220" w:lineRule="exact"/>
        <w:rPr>
          <w:sz w:val="20"/>
          <w:szCs w:val="20"/>
          <w:color w:val="auto"/>
        </w:rPr>
      </w:pPr>
    </w:p>
    <w:p>
      <w:pPr>
        <w:jc w:val="both"/>
        <w:ind w:firstLine="656"/>
        <w:spacing w:after="0" w:line="263" w:lineRule="auto"/>
        <w:tabs>
          <w:tab w:leader="none" w:pos="1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of the amounts calculated for each Obligor of a Receivable equal to the amount (if any) by which (i) the aggregate Unpaid Balance of all Eligible Receivables of such Obligor exceeds (ii) an amount equal to the Concentration Percentage for such Obligor,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the Aggregate Unpaid Balance at such time; </w:t>
      </w:r>
      <w:r>
        <w:rPr>
          <w:rFonts w:ascii="Times New Roman" w:cs="Times New Roman" w:eastAsia="Times New Roman" w:hAnsi="Times New Roman"/>
          <w:sz w:val="22"/>
          <w:szCs w:val="22"/>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58" w:name="page59"/>
    <w:bookmarkEnd w:id="58"/>
    <w:p>
      <w:pPr>
        <w:jc w:val="both"/>
        <w:ind w:firstLine="656"/>
        <w:spacing w:after="0" w:line="256" w:lineRule="auto"/>
        <w:tabs>
          <w:tab w:leader="none" w:pos="114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(if any) by which the aggregate Unpaid Balance of all Eligible Receivables with respect to which, as of such date, any payment, or any part thereof, remains unpaid 31 days or more, but not more than 60 days, from the original due date thereof, exceeds 25.00% of the aggregate amount of sales by the Originators giving rise to Receivables in the second month prior to the month of determination; </w:t>
      </w:r>
      <w:r>
        <w:rPr>
          <w:rFonts w:ascii="Times New Roman" w:cs="Times New Roman" w:eastAsia="Times New Roman" w:hAnsi="Times New Roman"/>
          <w:sz w:val="22"/>
          <w:szCs w:val="22"/>
          <w:u w:val="single" w:color="auto"/>
          <w:color w:val="auto"/>
        </w:rPr>
        <w:t>plus</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13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(if any) by which the aggregate Unpaid Balance of all Eligible Receivables with respect to which, as of such date, any payment, or any part thereof, remains unpaid 61 days or more, but not more than 90 days, from the original due date thereof, exceeds 25.00% of the aggregate amount of sales by the Originators giving rise to Receivables in the third month prior to the month of determination; </w:t>
      </w:r>
      <w:r>
        <w:rPr>
          <w:rFonts w:ascii="Times New Roman" w:cs="Times New Roman" w:eastAsia="Times New Roman" w:hAnsi="Times New Roman"/>
          <w:sz w:val="22"/>
          <w:szCs w:val="22"/>
          <w:u w:val="single" w:color="auto"/>
          <w:color w:val="auto"/>
        </w:rPr>
        <w:t>plus</w:t>
      </w:r>
    </w:p>
    <w:p>
      <w:pPr>
        <w:spacing w:after="0" w:line="192" w:lineRule="exact"/>
        <w:rPr>
          <w:rFonts w:ascii="Times New Roman" w:cs="Times New Roman" w:eastAsia="Times New Roman" w:hAnsi="Times New Roman"/>
          <w:sz w:val="22"/>
          <w:szCs w:val="22"/>
          <w:color w:val="auto"/>
        </w:rPr>
      </w:pPr>
    </w:p>
    <w:p>
      <w:pPr>
        <w:jc w:val="both"/>
        <w:ind w:firstLine="656"/>
        <w:spacing w:after="0" w:line="233" w:lineRule="auto"/>
        <w:tabs>
          <w:tab w:leader="none" w:pos="119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(if any) by which (i) the aggregate Unpaid Balance of all Eligible Receivables originated on or after April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any calendar year and payable on or prior to October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such calendar year to an Obligor designated as an “Agricultural Receivable Eligible Obligor” by the SPV with the consent of the Agent exceeds (ii) an amount equal to 10.00%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the Aggregate Unpaid Balance at such time, </w:t>
      </w:r>
      <w:r>
        <w:rPr>
          <w:rFonts w:ascii="Times New Roman" w:cs="Times New Roman" w:eastAsia="Times New Roman" w:hAnsi="Times New Roman"/>
          <w:sz w:val="22"/>
          <w:szCs w:val="22"/>
          <w:u w:val="single" w:color="auto"/>
          <w:color w:val="auto"/>
        </w:rPr>
        <w:t>plus</w:t>
      </w:r>
    </w:p>
    <w:p>
      <w:pPr>
        <w:spacing w:after="0" w:line="192" w:lineRule="exact"/>
        <w:rPr>
          <w:rFonts w:ascii="Times New Roman" w:cs="Times New Roman" w:eastAsia="Times New Roman" w:hAnsi="Times New Roman"/>
          <w:sz w:val="22"/>
          <w:szCs w:val="22"/>
          <w:color w:val="auto"/>
        </w:rPr>
      </w:pPr>
    </w:p>
    <w:p>
      <w:pPr>
        <w:jc w:val="both"/>
        <w:ind w:firstLine="656"/>
        <w:spacing w:after="0" w:line="263" w:lineRule="auto"/>
        <w:tabs>
          <w:tab w:leader="none" w:pos="116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(if any) by which (i) the aggregate Unpaid Balance of all Eligible Receivables with foreign (non-U.S. and Canada) Obligors (denominated in Dollars) exceeds (ii) an amount equal to 5.00%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the Aggregate Unpaid Balance at such time.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Amounts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with respect to the Managing Agent, any Investor, any other Secured Party, or any other recipient of any payment to be made by or on account of any obligation of a payor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Investor, in which its applicable Funding Office is located, (b) any branch profits taxes imposed by the United States or any similar tax imposed by any other jurisdiction in which the payor is located and U.S. federal backup withholding, (c) in the case of a Foreign Investor, any withholding tax that is imposed on amounts payable to such Foreign Investor at the time such Foreign Investor becomes a party hereto (or designates a new Funding Office) or is attributable to such Foreign Investor’s failure or inability (other than as a result of a Change in Law) to comply with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except to the extent that such Foreign Investor (or its assignor, if any) was entitled, at the time of designation of a new Funding Office (or assignment), to receive additional amounts from the SPV with respect to such withholding tax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and (d) any U.S. federal withholding taxes imposed under FATCA.</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Agreement</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preliminary statements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Agreement Closing Date</w:t>
      </w:r>
      <w:r>
        <w:rPr>
          <w:rFonts w:ascii="Times New Roman" w:cs="Times New Roman" w:eastAsia="Times New Roman" w:hAnsi="Times New Roman"/>
          <w:sz w:val="22"/>
          <w:szCs w:val="22"/>
          <w:color w:val="auto"/>
        </w:rPr>
        <w:t>” means September 24, 2019.</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Agreement Outstanding Amounts</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preliminary statements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59" w:name="page60"/>
    <w:bookmarkEnd w:id="59"/>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First Tier Agreement</w:t>
      </w:r>
      <w:r>
        <w:rPr>
          <w:rFonts w:ascii="Times New Roman" w:cs="Times New Roman" w:eastAsia="Times New Roman" w:hAnsi="Times New Roman"/>
          <w:sz w:val="22"/>
          <w:szCs w:val="22"/>
          <w:color w:val="auto"/>
        </w:rPr>
        <w:t>” means that certain Third Amended and Restated Sale Agreement, dated as of September 24, 2019, between the SPV and the Originators party thereto, as the same has been amended, restated or replaced prior to the Closing Date.</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Law</w:t>
      </w:r>
      <w:r>
        <w:rPr>
          <w:rFonts w:ascii="Times New Roman" w:cs="Times New Roman" w:eastAsia="Times New Roman" w:hAnsi="Times New Roman"/>
          <w:sz w:val="22"/>
          <w:szCs w:val="22"/>
          <w:color w:val="auto"/>
        </w:rPr>
        <w:t xml:space="preserve">” means the occurrence, after the Closing Date,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9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Lee Account Bank</w:t>
      </w:r>
      <w:r>
        <w:rPr>
          <w:rFonts w:ascii="Times New Roman" w:cs="Times New Roman" w:eastAsia="Times New Roman" w:hAnsi="Times New Roman"/>
          <w:sz w:val="22"/>
          <w:szCs w:val="22"/>
          <w:color w:val="auto"/>
        </w:rPr>
        <w:t>” means each of the banks of the Existing Lee Accounts, set forth in Schedule 4.1(s) to the Disclosure Letter.</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Lee Accounts</w:t>
      </w:r>
      <w:r>
        <w:rPr>
          <w:rFonts w:ascii="Times New Roman" w:cs="Times New Roman" w:eastAsia="Times New Roman" w:hAnsi="Times New Roman"/>
          <w:sz w:val="22"/>
          <w:szCs w:val="22"/>
          <w:color w:val="auto"/>
        </w:rPr>
        <w:t>” means the Existing Lee Accounts of Lee Originator, and Lee Iowa Originator, set forth in Schedule 4.1(s) to the Disclosure Letter.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Expected Dilution Ratio</w:t>
      </w:r>
      <w:r>
        <w:rPr>
          <w:rFonts w:ascii="Times New Roman" w:cs="Times New Roman" w:eastAsia="Times New Roman" w:hAnsi="Times New Roman"/>
          <w:sz w:val="22"/>
          <w:szCs w:val="22"/>
          <w:color w:val="auto"/>
        </w:rPr>
        <w:t>” means, for any Calculation Period, the average of the Dilution Ratios for the 12 calendar months ending on the most recent Month End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Fee</w:t>
      </w:r>
      <w:r>
        <w:rPr>
          <w:rFonts w:ascii="Times New Roman" w:cs="Times New Roman" w:eastAsia="Times New Roman" w:hAnsi="Times New Roman"/>
          <w:sz w:val="22"/>
          <w:szCs w:val="22"/>
          <w:color w:val="auto"/>
        </w:rPr>
        <w:t>” is defined in the Fee Letter.</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Limit</w:t>
      </w:r>
      <w:r>
        <w:rPr>
          <w:rFonts w:ascii="Times New Roman" w:cs="Times New Roman" w:eastAsia="Times New Roman" w:hAnsi="Times New Roman"/>
          <w:sz w:val="22"/>
          <w:szCs w:val="22"/>
          <w:color w:val="auto"/>
        </w:rPr>
        <w:t xml:space="preserve">” means at any time $200,000,000, as such amount may be increased in accordance with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or reduced in accordance with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may not at any time exceed the aggregate Commitments then in effect.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 Limit Increase Request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71" w:lineRule="auto"/>
        <w:rPr>
          <w:sz w:val="20"/>
          <w:szCs w:val="20"/>
          <w:color w:val="auto"/>
        </w:rPr>
      </w:pPr>
      <w:r>
        <w:rPr>
          <w:rFonts w:ascii="Times New Roman" w:cs="Times New Roman" w:eastAsia="Times New Roman" w:hAnsi="Times New Roman"/>
          <w:sz w:val="22"/>
          <w:szCs w:val="22"/>
          <w:color w:val="auto"/>
        </w:rPr>
        <w:t>Federal Funds Rate as so determined would be less than zero, such rate shall be deemed to be zero for purposes of this Agreement.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means, as applicable, (i) the confidential letter agreement among the SPV, the Agent and the Managing Agent for each Investor Group and (ii) each confidential letter agreement entered into by the SPV, the Agent and any Managing Agent for an Investor Group that becomes a party to this Agreement on or after the Closing Date.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Payout Date</w:t>
      </w:r>
      <w:r>
        <w:rPr>
          <w:rFonts w:ascii="Times New Roman" w:cs="Times New Roman" w:eastAsia="Times New Roman" w:hAnsi="Times New Roman"/>
          <w:sz w:val="22"/>
          <w:szCs w:val="22"/>
          <w:color w:val="auto"/>
        </w:rPr>
        <w:t>” means the date, after the Termination Date, on which the Net Investment has been reduced to zero, all accrued Servicing Fees have been paid in full and all other Aggregate Unpaids have been paid in full in cash.</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Tier Agreement</w:t>
      </w:r>
      <w:r>
        <w:rPr>
          <w:rFonts w:ascii="Times New Roman" w:cs="Times New Roman" w:eastAsia="Times New Roman" w:hAnsi="Times New Roman"/>
          <w:sz w:val="22"/>
          <w:szCs w:val="22"/>
          <w:color w:val="auto"/>
        </w:rPr>
        <w:t>” means the Fourth Amended and Restated Sale Agreement, dated as of May 11, 2026, among the Originators and the SPV.</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or any successor that is a national recognized statistical rating organization.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the benchmark rate floor, if any, provided in this Agreement initially (as of the execution of this Agreement, the modification, amendment or renewal of this Agreement or otherwise) with respect to Term SOFR or the Daily 1M SOFR. For the avoidance of doubt the initial Floor for each of Term SOFR and the Daily 1M SOFR, in each case, shall be 0.00%.</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Investor</w:t>
      </w:r>
      <w:r>
        <w:rPr>
          <w:rFonts w:ascii="Times New Roman" w:cs="Times New Roman" w:eastAsia="Times New Roman" w:hAnsi="Times New Roman"/>
          <w:sz w:val="22"/>
          <w:szCs w:val="22"/>
          <w:color w:val="auto"/>
        </w:rPr>
        <w:t>” means (a) if the SPV is a U.S. Person, an Investor that is not a U.S. Person, and (b) if the SPV is not a U.S. Person, an Investor that is a resident or organized under the laws of a jurisdiction other than that in which the SPV is resident for tax purposes.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Office</w:t>
      </w:r>
      <w:r>
        <w:rPr>
          <w:rFonts w:ascii="Times New Roman" w:cs="Times New Roman" w:eastAsia="Times New Roman" w:hAnsi="Times New Roman"/>
          <w:sz w:val="22"/>
          <w:szCs w:val="22"/>
          <w:color w:val="auto"/>
        </w:rPr>
        <w:t>” of an Investor means the office from which such Investor funds its Investment.</w:t>
      </w:r>
    </w:p>
    <w:p>
      <w:pPr>
        <w:spacing w:after="0" w:line="22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accounting profession, in effect from time to time.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GP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Greif Guaranty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the Fifth Amended and Restated Guaranty dated as of May 11, 2026, delivered by Greif, Inc. to the Persons named therein in relation to the obligations of the Originators and the Servicer under the Transaction Documents.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A Obligor</w:t>
      </w:r>
      <w:r>
        <w:rPr>
          <w:rFonts w:ascii="Times New Roman" w:cs="Times New Roman" w:eastAsia="Times New Roman" w:hAnsi="Times New Roman"/>
          <w:sz w:val="21"/>
          <w:szCs w:val="21"/>
          <w:color w:val="auto"/>
        </w:rPr>
        <w:t>” means any Obligor (or, if such Obligor is not rated, its parent company) with a short-term rating of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least: (a) “A-1” by S&amp;P, or if such Obligor (or, if applicable, such parent company) does not have a short-term rating from S&amp;P, 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long-term rating of “A+” or better by S&amp;P,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(b) “P-1” by Moody’s, or if such Obligor (or, if applicable, such parent 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does not have a short-term rating from Moody’s, a long-term rating of “A1” or better by Moody’s.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61" w:name="page62"/>
    <w:bookmarkEnd w:id="61"/>
    <w:p>
      <w:pPr>
        <w:jc w:val="both"/>
        <w:ind w:right="20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B Obligor</w:t>
      </w:r>
      <w:r>
        <w:rPr>
          <w:rFonts w:ascii="Times New Roman" w:cs="Times New Roman" w:eastAsia="Times New Roman" w:hAnsi="Times New Roman"/>
          <w:sz w:val="22"/>
          <w:szCs w:val="22"/>
          <w:color w:val="auto"/>
        </w:rPr>
        <w:t xml:space="preserve">” means any Obligor that is not a Group A Obligor, which Obligor (or, if such Obligor is not rated, its parent company) has a short-term rating of at least: (a) “A-2” by S&amp;P, or if such Obligor does not have a short-term rating from S&amp;P, a long-term rating of “BBB+” to “A” by S&amp;P,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(b) “P-2” by Moody’s, or if such Obligor (or, if applicable, such parent company) does not have a short-term rating from Moody’s, a long-term rating of “Baa1” to “A2” by Moody’s.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Group C Obligor</w:t>
      </w:r>
      <w:r>
        <w:rPr>
          <w:rFonts w:ascii="Times New Roman" w:cs="Times New Roman" w:eastAsia="Times New Roman" w:hAnsi="Times New Roman"/>
          <w:sz w:val="21"/>
          <w:szCs w:val="21"/>
          <w:color w:val="auto"/>
        </w:rPr>
        <w:t xml:space="preserve">” means any Obligor that is not a Group A Obligor or Group B Obligor, which Obligor (or, if such Obligor is not rated, its parent) has a short-term rating of at least: (a) “A-3” by S&amp;P, or if such Obligor does not have a short-term rating from S&amp;P, a long-term rating of “BBB-” to “BBB” by S&amp;P,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(b) “P-3” by Moody’s, or if such Obligor (or, if applicable, such parent company) does not have a short-term rating from Moody’s, a long-term rating of “Baa3” to “Baa2” by Moody’s.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Group D Obligor</w:t>
      </w:r>
      <w:r>
        <w:rPr>
          <w:rFonts w:ascii="Times New Roman" w:cs="Times New Roman" w:eastAsia="Times New Roman" w:hAnsi="Times New Roman"/>
          <w:sz w:val="22"/>
          <w:szCs w:val="22"/>
          <w:color w:val="auto"/>
        </w:rPr>
        <w:t>” means any Obligor that is not a Group A Obligor, Group B Obligor or Group C Obligor.</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with respect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such Person, direct or indirect, (i) to purchase or pay (or advance or supply funds for the purchase or payment of) such Indebtedness or other obligation,</w:t>
      </w:r>
    </w:p>
    <w:p>
      <w:pPr>
        <w:spacing w:after="0" w:line="4" w:lineRule="exact"/>
        <w:rPr>
          <w:sz w:val="20"/>
          <w:szCs w:val="20"/>
          <w:color w:val="auto"/>
        </w:rPr>
      </w:pPr>
    </w:p>
    <w:p>
      <w:pPr>
        <w:jc w:val="both"/>
        <w:ind w:firstLine="8"/>
        <w:spacing w:after="0" w:line="247" w:lineRule="auto"/>
        <w:tabs>
          <w:tab w:leader="none" w:pos="32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as a verb has a corresponding meaning.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Period</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62" w:name="page63"/>
    <w:bookmarkEnd w:id="62"/>
    <w:p>
      <w:pPr>
        <w:ind w:right="20" w:firstLine="1304"/>
        <w:spacing w:after="0" w:line="271"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all direct or contingent obligations of such Person arising under letters of credit (including standby and commercial), bankers’ acceptances, bank guaranties, surety bonds and similar instruments;</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Swap Contract;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and other accrued liabilities incurred payable in the ordinary course of business);</w:t>
      </w:r>
    </w:p>
    <w:p>
      <w:pPr>
        <w:spacing w:after="0" w:line="157"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94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67" w:lineRule="exact"/>
        <w:rPr>
          <w:rFonts w:ascii="Times New Roman" w:cs="Times New Roman" w:eastAsia="Times New Roman" w:hAnsi="Times New Roman"/>
          <w:sz w:val="22"/>
          <w:szCs w:val="22"/>
          <w:color w:val="auto"/>
        </w:rPr>
      </w:pPr>
    </w:p>
    <w:p>
      <w:pPr>
        <w:ind w:right="20" w:firstLine="1304"/>
        <w:spacing w:after="0" w:line="271" w:lineRule="auto"/>
        <w:tabs>
          <w:tab w:leader="none" w:pos="19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Attributable Indebtedness in respect of Capitalized Leases, Synthetic Lease Obligations and Synthetic Debt of such Person; and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of such Person in respect of any of the foregoing.</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For all purposes hereof, the Indebtedness of any Person shall include the Indebtedness of any partnership or joint venture (other than a joint venture that is itself a corporation, limited liability company or other entity the obligations of which are not, by operation of law, the joint or several obligations of the holders of its Equity Interests) in which such Person is a general partner or a joint venturer, unless such Indebtedness is expressly made non-recourse to such Person or such Indebtedness would not be required to be consolidated with the other Indebtedness of such Person under GAAP. The amount of any net obligation under any Swap Contract on any date shall be deemed to be the Swap Termination Value thereof as of such date.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Component</w:t>
      </w:r>
      <w:r>
        <w:rPr>
          <w:rFonts w:ascii="Times New Roman" w:cs="Times New Roman" w:eastAsia="Times New Roman" w:hAnsi="Times New Roman"/>
          <w:sz w:val="22"/>
          <w:szCs w:val="22"/>
          <w:color w:val="auto"/>
        </w:rPr>
        <w:t>” means, at any time of determination for any Conduit Investor, the aggregate Yield accrued and to accrue through the end of the current Rate Period for the Portion of Investment accruing Yield calculated by reference to the CP Rate at such time (determined for such purpose using the CP Rate most recently determined by its Administrator).</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International Trade Laws</w:t>
      </w:r>
      <w:r>
        <w:rPr>
          <w:rFonts w:ascii="Times New Roman" w:cs="Times New Roman" w:eastAsia="Times New Roman" w:hAnsi="Times New Roman"/>
          <w:sz w:val="22"/>
          <w:szCs w:val="22"/>
          <w:color w:val="auto"/>
        </w:rPr>
        <w:t>” means all Laws relating to export controls, trade embargoes, customs, and anti-boycott measures.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Request</w:t>
      </w:r>
      <w:r>
        <w:rPr>
          <w:rFonts w:ascii="Times New Roman" w:cs="Times New Roman" w:eastAsia="Times New Roman" w:hAnsi="Times New Roman"/>
          <w:sz w:val="22"/>
          <w:szCs w:val="22"/>
          <w:color w:val="auto"/>
        </w:rPr>
        <w:t xml:space="preserve">” means each request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means the Conduit Investors, the Committed Investors and/or the Uncommitted Investors, as the context may require.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Group</w:t>
      </w:r>
      <w:r>
        <w:rPr>
          <w:rFonts w:ascii="Times New Roman" w:cs="Times New Roman" w:eastAsia="Times New Roman" w:hAnsi="Times New Roman"/>
          <w:sz w:val="22"/>
          <w:szCs w:val="22"/>
          <w:color w:val="auto"/>
        </w:rPr>
        <w:t>” means each of the following groups of Investors:</w:t>
      </w:r>
    </w:p>
    <w:p>
      <w:pPr>
        <w:spacing w:after="0" w:line="220" w:lineRule="exact"/>
        <w:rPr>
          <w:sz w:val="20"/>
          <w:szCs w:val="20"/>
          <w:color w:val="auto"/>
        </w:rPr>
      </w:pPr>
    </w:p>
    <w:p>
      <w:pPr>
        <w:ind w:firstLine="1304"/>
        <w:spacing w:after="0" w:line="271"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PNC, as Administrator and Managing Agent, and the PNC Committed Investors from time to time party hereto (the “</w:t>
      </w:r>
      <w:r>
        <w:rPr>
          <w:rFonts w:ascii="Times New Roman" w:cs="Times New Roman" w:eastAsia="Times New Roman" w:hAnsi="Times New Roman"/>
          <w:sz w:val="22"/>
          <w:szCs w:val="22"/>
          <w:u w:val="single" w:color="auto"/>
          <w:color w:val="auto"/>
        </w:rPr>
        <w:t>PNC Investor Group</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as Administrator and Managing Agent, and the Wells Committed Investors from time to time party hereto (the “</w:t>
      </w:r>
      <w:r>
        <w:rPr>
          <w:rFonts w:ascii="Times New Roman" w:cs="Times New Roman" w:eastAsia="Times New Roman" w:hAnsi="Times New Roman"/>
          <w:sz w:val="22"/>
          <w:szCs w:val="22"/>
          <w:u w:val="single" w:color="auto"/>
          <w:color w:val="auto"/>
        </w:rPr>
        <w:t>Wells Investor Group</w:t>
      </w:r>
      <w:r>
        <w:rPr>
          <w:rFonts w:ascii="Times New Roman" w:cs="Times New Roman" w:eastAsia="Times New Roman" w:hAnsi="Times New Roman"/>
          <w:sz w:val="22"/>
          <w:szCs w:val="22"/>
          <w:color w:val="auto"/>
        </w:rPr>
        <w:t>”); and</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Conduit Investor, its Administrator, its Managing Agent and its related Committed Investors from time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time party hereto.</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Group Percentage</w:t>
      </w:r>
      <w:r>
        <w:rPr>
          <w:rFonts w:ascii="Times New Roman" w:cs="Times New Roman" w:eastAsia="Times New Roman" w:hAnsi="Times New Roman"/>
          <w:sz w:val="22"/>
          <w:szCs w:val="22"/>
          <w:color w:val="auto"/>
        </w:rPr>
        <w:t>” means, for any Investor Group, the percentage equivalent (carried out to five decimal places) of a fraction the numerator of which is the aggregate amount of the Commitments of all Committed Investors in that Investor Group and the denominator of which is the sum of such numerators for each of the Investor Groups.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KYC Request</w:t>
      </w:r>
      <w:r>
        <w:rPr>
          <w:rFonts w:ascii="Times New Roman" w:cs="Times New Roman" w:eastAsia="Times New Roman" w:hAnsi="Times New Roman"/>
          <w:sz w:val="22"/>
          <w:szCs w:val="22"/>
          <w:color w:val="auto"/>
        </w:rPr>
        <w:t>” means any reasonable request of any Agent-Related Person for documentation and other information so requested in connection with applicable “know your customer” and anti-money-laundering rules and regulations, including the PATRIOT Act.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law (including common law), constitution, statute, treaty, regulation, rule, ordinance, opinion, release, ruling, order, injunction, judgment, guidance, guideline, or other binding pronouncement of any Official Body, or of any arbitrator.</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encumbrance,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Horizon Ratio</w:t>
      </w:r>
      <w:r>
        <w:rPr>
          <w:rFonts w:ascii="Times New Roman" w:cs="Times New Roman" w:eastAsia="Times New Roman" w:hAnsi="Times New Roman"/>
          <w:sz w:val="22"/>
          <w:szCs w:val="22"/>
          <w:color w:val="auto"/>
        </w:rPr>
        <w:t xml:space="preserve">” means, for any Calculation Period, the quotient, expressed as a percentage, of (a) the aggregate initial Unpaid Balance of Eligible Receivables which arose during the most recent Calculation Periods equal to the sum of 2.5 plus the Weighted Average Payment Terms,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the Net Pool Balance as of the most recent Month End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Loss Reserve Ratio</w:t>
      </w:r>
      <w:r>
        <w:rPr>
          <w:rFonts w:ascii="Times New Roman" w:cs="Times New Roman" w:eastAsia="Times New Roman" w:hAnsi="Times New Roman"/>
          <w:sz w:val="21"/>
          <w:szCs w:val="21"/>
          <w:color w:val="auto"/>
        </w:rPr>
        <w:t>” means, for any Calculation Period, the product, expressed as a percentage, of (a) the Stress Factor,</w:t>
      </w:r>
    </w:p>
    <w:p>
      <w:pPr>
        <w:spacing w:after="0" w:line="39" w:lineRule="exact"/>
        <w:rPr>
          <w:sz w:val="20"/>
          <w:szCs w:val="20"/>
          <w:color w:val="auto"/>
        </w:rPr>
      </w:pPr>
    </w:p>
    <w:p>
      <w:pPr>
        <w:ind w:right="20" w:firstLine="8"/>
        <w:spacing w:after="0" w:line="248" w:lineRule="auto"/>
        <w:tabs>
          <w:tab w:leader="none" w:pos="31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highest three-month average, during the twelve-month period ending on the most recent Month End Date, of the Default Ratio and (c) the Loss Horizon Ratio for such Calculation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64" w:name="page65"/>
    <w:bookmarkEnd w:id="64"/>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Majority Investors</w:t>
      </w:r>
      <w:r>
        <w:rPr>
          <w:rFonts w:ascii="Times New Roman" w:cs="Times New Roman" w:eastAsia="Times New Roman" w:hAnsi="Times New Roman"/>
          <w:sz w:val="22"/>
          <w:szCs w:val="22"/>
          <w:color w:val="auto"/>
        </w:rPr>
        <w:t xml:space="preserve">” means, (i) at any time there are two or fewer Committed Investors, all Committed Investors, (ii) at any time there are three Committed Investors, at least two such Committed Investors that hold Commitments aggregating in excess of fifty percent (50%) of the Facility Limit as of such date (or, if the Commitments shall have been terminated, the Investors whose aggregate pro rata shares of the Net Investment exceed fifty percent (50%) of the Net Investment) and (iii) at any time there are four or more Committed Investors, those Committed Investors that hold Commitments aggregating in excess of fifty percent (50%) of the Facility Limit as of such date (or, if the Commitments shall have been terminated, the Investors whose aggregate pro rata shares of the Net Investment exceed fifty percent (50%) of the Net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of the cases of clauses (ii) and (iii), at any time PNC is the Agent hereunder, the PNC Committed Investors must be among the Majority Investors.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Managing Agent</w:t>
      </w:r>
      <w:r>
        <w:rPr>
          <w:rFonts w:ascii="Times New Roman" w:cs="Times New Roman" w:eastAsia="Times New Roman" w:hAnsi="Times New Roman"/>
          <w:sz w:val="22"/>
          <w:szCs w:val="22"/>
          <w:color w:val="auto"/>
        </w:rPr>
        <w:t>” means, with respect to any Investor Group, the Person acting as Managing Agent for such Investor Group and designated as such on the signature pages hereto or in any Assignment and Assumption Agreement for such Investor Group under this Agreement, and each of its successors and assigns.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any change, effect, event, occurrence, state of facts or development that materially and adversely affects (a) the collectibility of a material portion of the Receivables, (b) the operations, business, properties, liabilities (actual or contingent), or condition (financial or otherwise) of the SPV individually or Greif, Inc. and its consolidated Subsidiaries (taken as a whole), (c) the ability of any of the SPV, the Servicer or any of the Originators to perform its respective material obligations under the Transaction Documents to which it is a party, or (d) the rights of or benefits available to the Agent, the Managing Agents or the Investors under the Transaction Documents.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has the meaning assigned to such term in each Senior Credit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Net Investment</w:t>
      </w:r>
      <w:r>
        <w:rPr>
          <w:rFonts w:ascii="Times New Roman" w:cs="Times New Roman" w:eastAsia="Times New Roman" w:hAnsi="Times New Roman"/>
          <w:sz w:val="22"/>
          <w:szCs w:val="22"/>
          <w:color w:val="auto"/>
        </w:rPr>
        <w:t>” means, at any time, an amount equal to the Facility Limit.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Measurement Period</w:t>
      </w:r>
      <w:r>
        <w:rPr>
          <w:rFonts w:ascii="Times New Roman" w:cs="Times New Roman" w:eastAsia="Times New Roman" w:hAnsi="Times New Roman"/>
          <w:sz w:val="21"/>
          <w:szCs w:val="21"/>
          <w:color w:val="auto"/>
        </w:rPr>
        <w:t>” means, at any date of determination, the most recently completed four fiscal quarters of Greif,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any other Originator, as applicable.</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Dilution Reserve</w:t>
      </w:r>
      <w:r>
        <w:rPr>
          <w:rFonts w:ascii="Times New Roman" w:cs="Times New Roman" w:eastAsia="Times New Roman" w:hAnsi="Times New Roman"/>
          <w:sz w:val="22"/>
          <w:szCs w:val="22"/>
          <w:color w:val="auto"/>
        </w:rPr>
        <w:t>” means, at any time, the product (expressed as a percentage) of (a) the Expected Dilution Ratio and (b) the Dilution Horizon Ratio.</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Reserve Ratio</w:t>
      </w:r>
      <w:r>
        <w:rPr>
          <w:rFonts w:ascii="Times New Roman" w:cs="Times New Roman" w:eastAsia="Times New Roman" w:hAnsi="Times New Roman"/>
          <w:sz w:val="22"/>
          <w:szCs w:val="22"/>
          <w:color w:val="auto"/>
        </w:rPr>
        <w:t>” means, for any Calculation Period, the sum, expressed as a percentage, of (a) the Minimum Dilution Reserve and (b) the Concentration Reserve.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 End Date</w:t>
      </w:r>
      <w:r>
        <w:rPr>
          <w:rFonts w:ascii="Times New Roman" w:cs="Times New Roman" w:eastAsia="Times New Roman" w:hAnsi="Times New Roman"/>
          <w:sz w:val="22"/>
          <w:szCs w:val="22"/>
          <w:color w:val="auto"/>
        </w:rPr>
        <w:t>” means the last day of each calendar month.</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successor that is a nationally recognized statistical rating organization.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is defined in Section 4001(a)(3) of ERISA.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65" w:name="page66"/>
    <w:bookmarkEnd w:id="65"/>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Investment</w:t>
      </w:r>
      <w:r>
        <w:rPr>
          <w:rFonts w:ascii="Times New Roman" w:cs="Times New Roman" w:eastAsia="Times New Roman" w:hAnsi="Times New Roman"/>
          <w:sz w:val="21"/>
          <w:szCs w:val="21"/>
          <w:color w:val="auto"/>
        </w:rPr>
        <w:t xml:space="preserve">” at any time means (a) the cash amounts paid to the SPV pursuant to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together with the amount of any funding under a Program Support Agreement allocated to the Interest Component at the time of such funding less (b) the aggregate amount of Collections theretofore received and applied by the Agent to reduce such Net Investment pursuant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Net Investment shall be restored and reinstated in the amount of any Collections so received and applied if at any time the distribution of such Collections is rescinded or must otherwise be returned for any reason;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Net Investment shall be increased by the amount described in </w:t>
      </w:r>
      <w:r>
        <w:rPr>
          <w:rFonts w:ascii="Times New Roman" w:cs="Times New Roman" w:eastAsia="Times New Roman" w:hAnsi="Times New Roman"/>
          <w:sz w:val="21"/>
          <w:szCs w:val="21"/>
          <w:u w:val="single" w:color="auto"/>
          <w:color w:val="auto"/>
        </w:rPr>
        <w:t>Section 3.1(b)</w:t>
      </w:r>
      <w:r>
        <w:rPr>
          <w:rFonts w:ascii="Times New Roman" w:cs="Times New Roman" w:eastAsia="Times New Roman" w:hAnsi="Times New Roman"/>
          <w:sz w:val="21"/>
          <w:szCs w:val="21"/>
          <w:color w:val="auto"/>
        </w:rPr>
        <w:t xml:space="preserve"> as described therein.</w:t>
      </w:r>
    </w:p>
    <w:p>
      <w:pPr>
        <w:spacing w:after="0" w:line="16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Pool Balance</w:t>
      </w:r>
      <w:r>
        <w:rPr>
          <w:rFonts w:ascii="Times New Roman" w:cs="Times New Roman" w:eastAsia="Times New Roman" w:hAnsi="Times New Roman"/>
          <w:sz w:val="22"/>
          <w:szCs w:val="22"/>
          <w:color w:val="auto"/>
        </w:rPr>
        <w:t xml:space="preserve">” means, at any time, (a) the Aggregate Unpaid Balance at such time,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Excess Concentration.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Newark 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Letter Agreement</w:t>
      </w:r>
      <w:r>
        <w:rPr>
          <w:rFonts w:ascii="Times New Roman" w:cs="Times New Roman" w:eastAsia="Times New Roman" w:hAnsi="Times New Roman"/>
          <w:sz w:val="22"/>
          <w:szCs w:val="22"/>
          <w:color w:val="auto"/>
        </w:rPr>
        <w:t>” means that certain third amended and restated Notice Letter, dated as of May 11, 2026, among the parties hereto, setting forth certain notice and account information.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means, with respect to any Receivable, the Person obligated to make payments in respect of such Receivable pursuant to a Contract.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Percentage</w:t>
      </w:r>
      <w:r>
        <w:rPr>
          <w:rFonts w:ascii="Times New Roman" w:cs="Times New Roman" w:eastAsia="Times New Roman" w:hAnsi="Times New Roman"/>
          <w:sz w:val="22"/>
          <w:szCs w:val="22"/>
          <w:color w:val="auto"/>
        </w:rPr>
        <w:t>” means, at any time, for each Obligor, a fraction, expressed as a percentage, (a) the numerator of which is the aggregate Unpaid Balance of the Eligible Receivables of such Obligor and its Affiliates less the amount (if any) then included in the calculation of the Excess Concentration with respect to such Obligor and its Affiliates and (b) the denominator of which is the aggregate Unpaid Balance of all Eligible Receivables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is defined in the definition of “Sanctioned Person”.</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Official Body</w:t>
      </w:r>
      <w:r>
        <w:rPr>
          <w:rFonts w:ascii="Times New Roman" w:cs="Times New Roman" w:eastAsia="Times New Roman" w:hAnsi="Times New Roman"/>
          <w:sz w:val="22"/>
          <w:szCs w:val="22"/>
          <w:color w:val="auto"/>
        </w:rPr>
        <w:t>” means the government of the United States of America or of any other nation, or of any political subdivision of such a government, whether federal,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Offset Payables</w:t>
      </w:r>
      <w:r>
        <w:rPr>
          <w:rFonts w:ascii="Times New Roman" w:cs="Times New Roman" w:eastAsia="Times New Roman" w:hAnsi="Times New Roman"/>
          <w:sz w:val="22"/>
          <w:szCs w:val="22"/>
          <w:color w:val="auto"/>
        </w:rPr>
        <w:t xml:space="preserve">” means sum for each Eligible Receivable of the portion of the Unpaid Balance of such Eligible Receivable that is subject to offsets and holdbacks;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such purpose, “Offset Payables” shall be calculated without duplication of </w:t>
      </w:r>
      <w:r>
        <w:rPr>
          <w:rFonts w:ascii="Times New Roman" w:cs="Times New Roman" w:eastAsia="Times New Roman" w:hAnsi="Times New Roman"/>
          <w:sz w:val="22"/>
          <w:szCs w:val="22"/>
          <w:u w:val="single" w:color="auto"/>
          <w:color w:val="auto"/>
        </w:rPr>
        <w:t>clause (g)(ii)</w:t>
      </w:r>
      <w:r>
        <w:rPr>
          <w:rFonts w:ascii="Times New Roman" w:cs="Times New Roman" w:eastAsia="Times New Roman" w:hAnsi="Times New Roman"/>
          <w:sz w:val="22"/>
          <w:szCs w:val="22"/>
          <w:color w:val="auto"/>
        </w:rPr>
        <w:t xml:space="preserve"> of the definition of “Eligible Receivable”.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11.15</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 employee pension benefit plan as defined in Section 3(2) of ERISA, which is subject to Title IV of ERISA (other than a Multiemployer Plan) and to which any Originator, the SPV or an ERISA Affiliate of any of them may have any liability, including any liability by reason of having been a substantial employer within the meaning of Section 4063 of ERISA or by reason of being deemed to be a contributing sponsor under Section 4069 of ERISA.</w:t>
      </w:r>
    </w:p>
    <w:p>
      <w:pPr>
        <w:spacing w:after="0" w:line="18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limited liability company, corporation, joint stock company, trust (including a business trust), unincorporated association, joint venture, firm, enterprise, Official Body or any other entity.</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PINACLE</w:t>
      </w:r>
      <w:r>
        <w:rPr>
          <w:rFonts w:ascii="Times New Roman" w:cs="Times New Roman" w:eastAsia="Times New Roman" w:hAnsi="Times New Roman"/>
          <w:sz w:val="22"/>
          <w:szCs w:val="22"/>
          <w:color w:val="auto"/>
        </w:rPr>
        <w:t>” means PNC’s PINACLE® credit management service and any and all services and systems provided or used in connection therewith, and any similar or replacement electronic credit administration services implemented by PNC.</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PINACLE Agreement</w:t>
      </w:r>
      <w:r>
        <w:rPr>
          <w:rFonts w:ascii="Times New Roman" w:cs="Times New Roman" w:eastAsia="Times New Roman" w:hAnsi="Times New Roman"/>
          <w:sz w:val="22"/>
          <w:szCs w:val="22"/>
          <w:color w:val="auto"/>
        </w:rPr>
        <w:t>” means a separate written agreement between the SPV and PNC regarding PINACLE, and any amendments, modifications or replacements thereof.</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means PINACLE or any of Debt Domain, Intralinks, Syndtrak or a substantially similar electronic transmission system.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 Administrator</w:t>
      </w:r>
      <w:r>
        <w:rPr>
          <w:rFonts w:ascii="Times New Roman" w:cs="Times New Roman" w:eastAsia="Times New Roman" w:hAnsi="Times New Roman"/>
          <w:sz w:val="22"/>
          <w:szCs w:val="22"/>
          <w:color w:val="auto"/>
        </w:rPr>
        <w:t>” means PNC or an Affiliate thereof, as administrator for the PNC Investor Group.</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 Assignment</w:t>
      </w:r>
      <w:r>
        <w:rPr>
          <w:rFonts w:ascii="Times New Roman" w:cs="Times New Roman" w:eastAsia="Times New Roman" w:hAnsi="Times New Roman"/>
          <w:sz w:val="22"/>
          <w:szCs w:val="22"/>
          <w:color w:val="auto"/>
        </w:rPr>
        <w:t>” means that certain Assignment, Assumption and Resignation Agreement dated as of September 28, 2016, by and among, PNC Bank, National Association, as assignor, Cooperatieve Rabobank U.A., New York Branch, as assignee, the SPV, the GP Originator and the Servicer.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 Committed Investor</w:t>
      </w:r>
      <w:r>
        <w:rPr>
          <w:rFonts w:ascii="Times New Roman" w:cs="Times New Roman" w:eastAsia="Times New Roman" w:hAnsi="Times New Roman"/>
          <w:sz w:val="22"/>
          <w:szCs w:val="22"/>
          <w:color w:val="auto"/>
        </w:rPr>
        <w:t>” means each financial institution party to this Agreement as a PNC Committed Investor.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PNC Investor Group</w:t>
      </w:r>
      <w:r>
        <w:rPr>
          <w:rFonts w:ascii="Times New Roman" w:cs="Times New Roman" w:eastAsia="Times New Roman" w:hAnsi="Times New Roman"/>
          <w:sz w:val="22"/>
          <w:szCs w:val="22"/>
          <w:color w:val="auto"/>
        </w:rPr>
        <w:t>” is defined in the definition of “Investor Group”.</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Portion of Investment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Termination Event</w:t>
      </w:r>
      <w:r>
        <w:rPr>
          <w:rFonts w:ascii="Times New Roman" w:cs="Times New Roman" w:eastAsia="Times New Roman" w:hAnsi="Times New Roman"/>
          <w:sz w:val="22"/>
          <w:szCs w:val="22"/>
          <w:color w:val="auto"/>
        </w:rPr>
        <w:t>” means an event which but for the lapse of time or the giving of notice, or both, would constitute a Termination Event.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interest rate per annum announced from time to time by the Agent at its main offices in Pittsburgh, Pennsylvania as its then prime rate, which rate may not be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67" w:name="page68"/>
    <w:bookmarkEnd w:id="6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lowest or most favorable rate then being charged to commercial borrowers or others by the Agent and may not be tied to any external rate of interest or index.</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Assignments</w:t>
      </w:r>
      <w:r>
        <w:rPr>
          <w:rFonts w:ascii="Times New Roman" w:cs="Times New Roman" w:eastAsia="Times New Roman" w:hAnsi="Times New Roman"/>
          <w:sz w:val="22"/>
          <w:szCs w:val="22"/>
          <w:color w:val="auto"/>
        </w:rPr>
        <w:t>” means the Bank of America Assignment, the PNC Assignment, the Rabobank Assignment and the 2026 Bank of America Assignment.</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xml:space="preserve">” means, with respect to a Committed Investor and a particular Investor Group at any time, the Commitment of such Committed Investor,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the sum of the Commitments of all Committed Investors in such Investor Group (or, if the Commitments shall have been terminated, its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of the Net Investment funded by such Investor Group).</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Fee</w:t>
      </w:r>
      <w:r>
        <w:rPr>
          <w:rFonts w:ascii="Times New Roman" w:cs="Times New Roman" w:eastAsia="Times New Roman" w:hAnsi="Times New Roman"/>
          <w:sz w:val="22"/>
          <w:szCs w:val="22"/>
          <w:color w:val="auto"/>
        </w:rPr>
        <w:t>” is defined in the Fee Letter.</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Support Agreement</w:t>
      </w:r>
      <w:r>
        <w:rPr>
          <w:rFonts w:ascii="Times New Roman" w:cs="Times New Roman" w:eastAsia="Times New Roman" w:hAnsi="Times New Roman"/>
          <w:sz w:val="22"/>
          <w:szCs w:val="22"/>
          <w:color w:val="auto"/>
        </w:rPr>
        <w:t>” means and includes, with respect to any Conduit Investor, any agreement entered into by any Program Support Provider providing for the issuance of one or more letters of credit for the account of the Conduit Investor (or any related commercial paper issuer that finances the Conduit Investor), the issuance of one or more surety bonds for which the Conduit Investor (or such related issuer) is obligated to reimburse the applicable Program Support Provider for any drawings thereunder, the sale by the Conduit Investor (or such related issuer) to any Program Support Provider of the Asset Interest (or portions thereof or participations therein) and/or the making of loans and/or other extensions of credit to the Conduit Investor (or such related issuer) in connection with its commercial paper program, together with any letter of credit, surety bond or other instrument issued thereunder.</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Program Support Provider</w:t>
      </w:r>
      <w:r>
        <w:rPr>
          <w:rFonts w:ascii="Times New Roman" w:cs="Times New Roman" w:eastAsia="Times New Roman" w:hAnsi="Times New Roman"/>
          <w:sz w:val="22"/>
          <w:szCs w:val="22"/>
          <w:color w:val="auto"/>
        </w:rPr>
        <w:t>” means and includes, with respect to any Conduit Investor, any Person now or hereafter extending credit or having a commitment to extend credit to or for the account of, or to make purchases from, the Conduit Investor (or any related commercial paper issuer that finances the Conduit Investor) or issuing a letter of credit, surety bond or other instrument to support any obligations arising under or in connection with the Conduit Investor’s (or such related issuer’s) commercial paper program.</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Rabobank Assignment</w:t>
      </w:r>
      <w:r>
        <w:rPr>
          <w:rFonts w:ascii="Times New Roman" w:cs="Times New Roman" w:eastAsia="Times New Roman" w:hAnsi="Times New Roman"/>
          <w:sz w:val="22"/>
          <w:szCs w:val="22"/>
          <w:color w:val="auto"/>
        </w:rPr>
        <w:t>” means that certain Assignment, Assumption and Resignation Agreement dated as of September 24, 2019, by and among, Cooperative Rabobank U.A., New York Branch, as assignor, Bank of America, N.A., as assignee, the SPV, the GP Originator and the Servicer.</w:t>
      </w:r>
    </w:p>
    <w:p>
      <w:pPr>
        <w:spacing w:after="0" w:line="16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Rate Period</w:t>
      </w:r>
      <w:r>
        <w:rPr>
          <w:rFonts w:ascii="Times New Roman" w:cs="Times New Roman" w:eastAsia="Times New Roman" w:hAnsi="Times New Roman"/>
          <w:sz w:val="22"/>
          <w:szCs w:val="22"/>
          <w:color w:val="auto"/>
        </w:rPr>
        <w:t xml:space="preserve">” means with respect to any Portion of Investment (A) before any Termination Date: (i) initially the period commencing on (and including) the date of the initial purchase or funding of such Portion of Investment and ending on (but excluding) the last day of the calendar month in which such Investment was funded, and (ii) thereafter, each period commencing on (and including) the first day of a calendar month and ending on (and including) the last day of such calendar month and (B) on and after the Termination Date, any Rate Period (including a period of one day) as shall be selected from time to time by the Agent or, in the absence of any such selection, each period determined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notwithstanding the occurrence of such Termination Date.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Rate Type</w:t>
      </w:r>
      <w:r>
        <w:rPr>
          <w:rFonts w:ascii="Times New Roman" w:cs="Times New Roman" w:eastAsia="Times New Roman" w:hAnsi="Times New Roman"/>
          <w:sz w:val="22"/>
          <w:szCs w:val="22"/>
          <w:color w:val="auto"/>
        </w:rPr>
        <w:t>” means Term SOFR, Daily 1M Term SOFR, the Base Rate or the CP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Rating Agencies</w:t>
      </w:r>
      <w:r>
        <w:rPr>
          <w:rFonts w:ascii="Times New Roman" w:cs="Times New Roman" w:eastAsia="Times New Roman" w:hAnsi="Times New Roman"/>
          <w:sz w:val="22"/>
          <w:szCs w:val="22"/>
          <w:color w:val="auto"/>
        </w:rPr>
        <w:t>” means each of Moody’s and Fitch.</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any right to payment owed by any Obligor or evidenced by a Contract arising in connection with the sale of goods or the rendering of services by an Originator or any right of an Originator or the SPV to payment from or on behalf of an Obligor, in respect of any scheduled payment of interest, principal or otherwise under a Contract, or any right to reimbursement for funds paid or advanced by an Originator or the SPV on behalf of an Obligor under such Contract, whether constituting an account, chattel paper, instrument, payment intangible, or general intangible, (whether or not earned by performance), together with all supplemental or additional payments required by the terms of such Contract with respect to insurance, maintenance, ancillary products and services and any other specific charges (including the obligation to pay any finance charges, fees and other charges with respect thereto), other than a Retained Receivable.</w:t>
      </w:r>
    </w:p>
    <w:p>
      <w:pPr>
        <w:spacing w:after="0" w:line="18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Purchase Agreement</w:t>
      </w:r>
      <w:r>
        <w:rPr>
          <w:rFonts w:ascii="Times New Roman" w:cs="Times New Roman" w:eastAsia="Times New Roman" w:hAnsi="Times New Roman"/>
          <w:sz w:val="22"/>
          <w:szCs w:val="22"/>
          <w:color w:val="auto"/>
        </w:rPr>
        <w:t>” means that certain Receivables Purchase Agreement, dated as of May 1, 2013, by and between Container Life Originator, as supplier, and Wells Fargo Bank, National Association, as purchaser.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means all Contracts and other documents, purchase orders, invoices, agreements, books, records and any other media, materials or devices for the storage of information (including tapes, disks, punch cards, computer programs and databases and related property) maintained by the SPV, any Originator or the Servicer with respect to the Receivables, any other Affected Assets or the Obligors.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Period</w:t>
      </w:r>
      <w:r>
        <w:rPr>
          <w:rFonts w:ascii="Times New Roman" w:cs="Times New Roman" w:eastAsia="Times New Roman" w:hAnsi="Times New Roman"/>
          <w:sz w:val="22"/>
          <w:szCs w:val="22"/>
          <w:color w:val="auto"/>
        </w:rPr>
        <w:t>” means the period commencing on the Closing Date and ending on the Termination Date.</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Committed Investor</w:t>
      </w:r>
      <w:r>
        <w:rPr>
          <w:rFonts w:ascii="Times New Roman" w:cs="Times New Roman" w:eastAsia="Times New Roman" w:hAnsi="Times New Roman"/>
          <w:sz w:val="22"/>
          <w:szCs w:val="22"/>
          <w:color w:val="auto"/>
        </w:rPr>
        <w:t>” means, with respect to any Uncommitted Investor, the Committed Investors in such Uncommitted Investor’s Investor Group.</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Conduit Investor</w:t>
      </w:r>
      <w:r>
        <w:rPr>
          <w:rFonts w:ascii="Times New Roman" w:cs="Times New Roman" w:eastAsia="Times New Roman" w:hAnsi="Times New Roman"/>
          <w:sz w:val="22"/>
          <w:szCs w:val="22"/>
          <w:color w:val="auto"/>
        </w:rPr>
        <w:t>” means, with respect to any Conduit Investor, another Conduit Investor in such Conduit Investor’s Investor Group.</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means, with respect to any Person, such Person’s Affiliates and the partners, directors, officers, employees, agents and advisors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2" w:right="339" w:bottom="1440" w:gutter="0" w:footer="0" w:header="0"/>
        </w:sectPr>
      </w:pPr>
    </w:p>
    <w:bookmarkStart w:id="69" w:name="page70"/>
    <w:bookmarkEnd w:id="69"/>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Security</w:t>
      </w:r>
      <w:r>
        <w:rPr>
          <w:rFonts w:ascii="Times New Roman" w:cs="Times New Roman" w:eastAsia="Times New Roman" w:hAnsi="Times New Roman"/>
          <w:sz w:val="22"/>
          <w:szCs w:val="22"/>
          <w:color w:val="auto"/>
        </w:rPr>
        <w:t>” means, with respect to any Receivable, all of the applicable Originator’s (without giving effect to any transfer under the First Tier Agreement) or the SPV’s rights, title and interest in, to and under:</w:t>
      </w:r>
    </w:p>
    <w:p>
      <w:pPr>
        <w:spacing w:after="0" w:line="158" w:lineRule="exact"/>
        <w:rPr>
          <w:sz w:val="20"/>
          <w:szCs w:val="20"/>
          <w:color w:val="auto"/>
        </w:rPr>
      </w:pPr>
    </w:p>
    <w:p>
      <w:pPr>
        <w:ind w:firstLine="1304"/>
        <w:spacing w:after="0" w:line="284"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goods (including returned or repossessed goods) and documentation or title evidencing the shipment or storage of any goods relating to any sale giving rise to such Receivable;</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Liens and property subject thereto from time to time, if any, purporting to secure payment of such Receivable, whether pursuant to the related Contract or otherwise, together with all financing statements and other filings authorized by an Obligor relating thereto;</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indemnities, warranties, letters of credit, insurance policies and proceeds and premium refunds thereof and other agreements or arrangements of any kind from time to time supporting or securing payment of such Receivable, whether pursuant to the Contract related to such Receivable or otherwise;</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records, instruments, documents and other agreements (including any Contract with respect thereto) related to such Receivable;</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Collections with respect to such Receivable and all of the SPV’s or the applicable Originator’s right, title and interest in and to any deposit or other account (including the Blocked Accounts and the Collection Account) into which such Collections may be deposited or received; and</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the foregoing.</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event, transaction or circumstance which is required to be reported with respect to any Pension Plan under Section 4043 of ERISA and the applicable regulations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Reporting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Reserves</w:t>
      </w:r>
      <w:r>
        <w:rPr>
          <w:rFonts w:ascii="Times New Roman" w:cs="Times New Roman" w:eastAsia="Times New Roman" w:hAnsi="Times New Roman"/>
          <w:sz w:val="22"/>
          <w:szCs w:val="22"/>
          <w:color w:val="auto"/>
        </w:rPr>
        <w:t xml:space="preserve">” at any time means the product of (x) the Net Pool Balance and (y) the greater of (I) 11.00% and (II) the sum of (a) the Yield Reserve Ratio,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Servicing Fee Reserve Ratio,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(c) the greater of (i) the sum of the Loss Reserve Ratio and the Dilution Reserve Ratio and (ii) the Minimum Reserve Ratio, each as in effect at such time.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means any payment that the Agent makes for the account of the Investors hereunder as to which the Agent determines (which determination shall be conclusive absent manifest error) that any of the following applies: (1) no Seller Party has in fact made such</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2" w:right="339" w:bottom="1440" w:gutter="0" w:footer="0" w:header="0"/>
        </w:sectPr>
      </w:pPr>
    </w:p>
    <w:bookmarkStart w:id="70" w:name="page71"/>
    <w:bookmarkEnd w:id="70"/>
    <w:p>
      <w:pPr>
        <w:ind w:right="20"/>
        <w:spacing w:after="0" w:line="271" w:lineRule="auto"/>
        <w:rPr>
          <w:sz w:val="20"/>
          <w:szCs w:val="20"/>
          <w:color w:val="auto"/>
        </w:rPr>
      </w:pPr>
      <w:r>
        <w:rPr>
          <w:rFonts w:ascii="Times New Roman" w:cs="Times New Roman" w:eastAsia="Times New Roman" w:hAnsi="Times New Roman"/>
          <w:sz w:val="22"/>
          <w:szCs w:val="22"/>
          <w:color w:val="auto"/>
        </w:rPr>
        <w:t>payment; (2) the Agent has made a payment in excess of the amount so paid by the Seller Parties (whether or not then owed); or (3) the Agent has for any reason otherwise erroneously made such payment.</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(a) in the case of a corporation, its president, senior vice president, executive vice president or treasurer, and, in any case where two Responsible Officers are acting on behalf of such corporation, the second such Responsible Officer may be a secretary or assistant secretary; (b) in the case of a limited partnership, the Responsible Officer of the general partner, acting on behalf of such general partner in its capacity as general partner; and (c) in the case of a limited liability company, the chairman, chief executive officer, president, chief operating officer, chief financial officer, executive vice president, senior vice president or treasurer of such limited liability company or of the manager, managing member or sole member of such limited liability company, acting on behalf of such manager, managing member or sole member in its capacity as manager, managing member or sole member.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6.2(l)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Receivable</w:t>
      </w:r>
      <w:r>
        <w:rPr>
          <w:rFonts w:ascii="Times New Roman" w:cs="Times New Roman" w:eastAsia="Times New Roman" w:hAnsi="Times New Roman"/>
          <w:sz w:val="22"/>
          <w:szCs w:val="22"/>
          <w:color w:val="auto"/>
        </w:rPr>
        <w:t>” has the meaning provided in the First Tier Agreement.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 a division of The McGraw-Hill Companies, Inc., or any successor that is a nationally recognized statistical rating organization.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Jurisdiction</w:t>
      </w:r>
      <w:r>
        <w:rPr>
          <w:rFonts w:ascii="Times New Roman" w:cs="Times New Roman" w:eastAsia="Times New Roman" w:hAnsi="Times New Roman"/>
          <w:sz w:val="22"/>
          <w:szCs w:val="22"/>
          <w:color w:val="auto"/>
        </w:rPr>
        <w:t>” means, at any time, any country, area, territory, or jurisdiction that is the subject or target of comprehensive Sanctions (as of the date of this Agreement, Cuba, Iran, North Korea, and the Crimea, Donetsk People’s Republic and Luhansk People’s Republic regions of Ukraine), as well as the Kherson and Zaporizhzhia regions of Ukraine.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that is (a) located in, organized under the Laws of, or ordinarily resident in a Sanctioned Jurisdiction; (b) identified on any sanctions-related list maintained by any Compliance Authority; (c) owned 50% or more, in the aggregate, directly or indirectly by, controlled by, or acting for, on behalf of, or at the direction of, one or more Persons described in clauses (a) or (b) above; or (d) otherwise the subject or target of Sanctions.</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Laws relating to economic or financial sanctions, sectoral sanctions, or secondary sanctions, administered, or enforced from time to time by any Compliance Authority.</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means the Investors, the Agent, each Managing Agent, each Administrator and the Program Support Providers.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Parties</w:t>
      </w:r>
      <w:r>
        <w:rPr>
          <w:rFonts w:ascii="Times New Roman" w:cs="Times New Roman" w:eastAsia="Times New Roman" w:hAnsi="Times New Roman"/>
          <w:sz w:val="22"/>
          <w:szCs w:val="22"/>
          <w:color w:val="auto"/>
        </w:rPr>
        <w:t>” means the SPV, each Originator, the initial Servicer, and Greif, Inc.</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2" w:right="339" w:bottom="1440" w:gutter="0" w:footer="0" w:header="0"/>
        </w:sectPr>
      </w:pPr>
    </w:p>
    <w:bookmarkStart w:id="71" w:name="page72"/>
    <w:bookmarkEnd w:id="71"/>
    <w:p>
      <w:pPr>
        <w:spacing w:after="0" w:line="3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Credit Agreement</w:t>
      </w:r>
      <w:r>
        <w:rPr>
          <w:rFonts w:ascii="Times New Roman" w:cs="Times New Roman" w:eastAsia="Times New Roman" w:hAnsi="Times New Roman"/>
          <w:sz w:val="22"/>
          <w:szCs w:val="22"/>
          <w:color w:val="auto"/>
        </w:rPr>
        <w:t>” means:</w:t>
      </w:r>
    </w:p>
    <w:p>
      <w:pPr>
        <w:spacing w:after="0" w:line="125" w:lineRule="exact"/>
        <w:rPr>
          <w:sz w:val="20"/>
          <w:szCs w:val="20"/>
          <w:color w:val="auto"/>
        </w:rPr>
      </w:pPr>
    </w:p>
    <w:p>
      <w:pPr>
        <w:jc w:val="both"/>
        <w:ind w:left="-220" w:firstLine="1304"/>
        <w:spacing w:after="0" w:line="263" w:lineRule="auto"/>
        <w:tabs>
          <w:tab w:leader="none" w:pos="1721"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Third Amended and Restated Credit Agreement dated as of February 27, 2026 (as amended, restated, supplemented or otherwise modified and in effect from time to time), by and among Greif, Inc., a Delaware corporation, Greif Packaging LLC, a Delaware limited liability company, Greif International Holding, B.V., a private limited liability company (</w:t>
      </w:r>
      <w:r>
        <w:rPr>
          <w:rFonts w:ascii="Times New Roman" w:cs="Times New Roman" w:eastAsia="Times New Roman" w:hAnsi="Times New Roman"/>
          <w:sz w:val="21"/>
          <w:szCs w:val="21"/>
          <w:i w:val="1"/>
          <w:iCs w:val="1"/>
          <w:color w:val="auto"/>
        </w:rPr>
        <w:t>besloten vennootschap met beperlite aansprakelijkheid</w:t>
      </w:r>
      <w:r>
        <w:rPr>
          <w:rFonts w:ascii="Times New Roman" w:cs="Times New Roman" w:eastAsia="Times New Roman" w:hAnsi="Times New Roman"/>
          <w:sz w:val="21"/>
          <w:szCs w:val="21"/>
          <w:color w:val="auto"/>
        </w:rPr>
        <w:t>) incorporated and existing under the laws of The Netherlands with statutory seat in Amstelveen, The Netherlands and registered with the Dutch trade register under number 33065401, Greif Beheer B.V., a private limited liability company (</w:t>
      </w:r>
      <w:r>
        <w:rPr>
          <w:rFonts w:ascii="Times New Roman" w:cs="Times New Roman" w:eastAsia="Times New Roman" w:hAnsi="Times New Roman"/>
          <w:sz w:val="21"/>
          <w:szCs w:val="21"/>
          <w:i w:val="1"/>
          <w:iCs w:val="1"/>
          <w:color w:val="auto"/>
        </w:rPr>
        <w:t>besloten vennootschap met beperlite aansprakelijkheid</w:t>
      </w:r>
      <w:r>
        <w:rPr>
          <w:rFonts w:ascii="Times New Roman" w:cs="Times New Roman" w:eastAsia="Times New Roman" w:hAnsi="Times New Roman"/>
          <w:sz w:val="21"/>
          <w:szCs w:val="21"/>
          <w:color w:val="auto"/>
        </w:rPr>
        <w:t>) incorporated and existing under the laws of The Netherlands with statutory seat in Amstelveen, The Netherlands and registered with the Dutch trade register under number 30170356 and certain other wholly-owned subsidiaries of Greif, Inc. party thereto, each lender from time to time party thereto, and JPMorgan Chase Bank, National Association, as administrative agent and letter of credit issuer; or</w:t>
      </w:r>
    </w:p>
    <w:p>
      <w:pPr>
        <w:spacing w:after="0" w:line="169" w:lineRule="exact"/>
        <w:rPr>
          <w:rFonts w:ascii="Times New Roman" w:cs="Times New Roman" w:eastAsia="Times New Roman" w:hAnsi="Times New Roman"/>
          <w:sz w:val="21"/>
          <w:szCs w:val="21"/>
          <w:color w:val="auto"/>
        </w:rPr>
      </w:pPr>
    </w:p>
    <w:p>
      <w:pPr>
        <w:jc w:val="both"/>
        <w:ind w:left="-220" w:firstLine="1304"/>
        <w:spacing w:after="0" w:line="252" w:lineRule="auto"/>
        <w:tabs>
          <w:tab w:leader="none" w:pos="171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certain Amended and Restated Credit Agreement, dated as of February 27, 2026 (as amended, restated, supplemented or otherwise modified and in effect from time to time), by and among Greif, Inc., a Delaware corporation, Greif Packaging LLC, a Delaware limited liability company, and certain other wholly-owned subsidiaries of Greif, Inc. party thereto, each lender from time to time party thereto, and CoBank, ACB, as administrative agent; or</w:t>
      </w:r>
    </w:p>
    <w:p>
      <w:pPr>
        <w:spacing w:after="0" w:line="192" w:lineRule="exact"/>
        <w:rPr>
          <w:rFonts w:ascii="Times New Roman" w:cs="Times New Roman" w:eastAsia="Times New Roman" w:hAnsi="Times New Roman"/>
          <w:sz w:val="22"/>
          <w:szCs w:val="22"/>
          <w:color w:val="auto"/>
        </w:rPr>
      </w:pPr>
    </w:p>
    <w:p>
      <w:pPr>
        <w:jc w:val="both"/>
        <w:ind w:left="-220" w:firstLine="1304"/>
        <w:spacing w:after="0" w:line="250" w:lineRule="auto"/>
        <w:tabs>
          <w:tab w:leader="none" w:pos="172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agreement referred to in paragraph (a) or (b) is terminated or cancelled, any secured or unsecured revolving credit or term loan agreement between or among Greif, Inc., as borrower, and any bank or banks or financial institutions, as lenders(s), for borrowed monies to be used for general corporate purposes of Greif, Inc. and/or its Subsidiaries, with an original term of not less than 3 years and an original aggregate loan commitment of at least U.S.$250,000,000 or the equivalent thereof in any other currency and, if there is more than one such revolving credit or term loan agreement, then such agreement which involves the greatest original aggregate loan commitment(s) and, as between agreements having the same aggregate original loan commitment(s), then the one which has the most recent date; or</w:t>
      </w:r>
    </w:p>
    <w:p>
      <w:pPr>
        <w:spacing w:after="0" w:line="180" w:lineRule="exact"/>
        <w:rPr>
          <w:rFonts w:ascii="Times New Roman" w:cs="Times New Roman" w:eastAsia="Times New Roman" w:hAnsi="Times New Roman"/>
          <w:sz w:val="22"/>
          <w:szCs w:val="22"/>
          <w:color w:val="auto"/>
        </w:rPr>
      </w:pPr>
    </w:p>
    <w:p>
      <w:pPr>
        <w:jc w:val="both"/>
        <w:ind w:left="-220" w:firstLine="1304"/>
        <w:spacing w:after="0" w:line="253" w:lineRule="auto"/>
        <w:tabs>
          <w:tab w:leader="none" w:pos="171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agreement referred to in paragraph (a) or (b) above and all agreements, if any, which apply under paragraph (c) have been terminated or cancelled, then so long as paragraph (c) does not apply as the result of one or more new agreements being entered into, the agreement which is the last such agreement under paragraph (a), (b) or (c) to be so terminated or cancelled as in effect (for purposes of this definition) pursuant to such paragraphs immediately prior to such termination or cancellation.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the 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Amounts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020"/>
          </w:cols>
          <w:pgMar w:left="540" w:top="1440"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Indemnified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Servicer Report</w:t>
      </w:r>
      <w:r>
        <w:rPr>
          <w:rFonts w:ascii="Times New Roman" w:cs="Times New Roman" w:eastAsia="Times New Roman" w:hAnsi="Times New Roman"/>
          <w:sz w:val="22"/>
          <w:szCs w:val="22"/>
          <w:color w:val="auto"/>
        </w:rPr>
        <w:t xml:space="preserve">” means a report, in substantially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or in such other form as is mutually agreed to by the SPV, the Servicer and the Agent, furnished by the Servicer pursuant to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Servicing Fee</w:t>
      </w:r>
      <w:r>
        <w:rPr>
          <w:rFonts w:ascii="Times New Roman" w:cs="Times New Roman" w:eastAsia="Times New Roman" w:hAnsi="Times New Roman"/>
          <w:sz w:val="21"/>
          <w:szCs w:val="21"/>
          <w:color w:val="auto"/>
        </w:rPr>
        <w:t xml:space="preserve">” means the fees payable to the Servicer from Collections, in an amount equal to either (i) at any time when the Servicer is an Affiliate of Greif, Inc., 1.0% </w:t>
      </w:r>
      <w:r>
        <w:rPr>
          <w:rFonts w:ascii="Times New Roman" w:cs="Times New Roman" w:eastAsia="Times New Roman" w:hAnsi="Times New Roman"/>
          <w:sz w:val="21"/>
          <w:szCs w:val="21"/>
          <w:u w:val="single" w:color="auto"/>
          <w:color w:val="auto"/>
        </w:rPr>
        <w:t>per annum</w:t>
      </w:r>
      <w:r>
        <w:rPr>
          <w:rFonts w:ascii="Times New Roman" w:cs="Times New Roman" w:eastAsia="Times New Roman" w:hAnsi="Times New Roman"/>
          <w:sz w:val="21"/>
          <w:szCs w:val="21"/>
          <w:color w:val="auto"/>
        </w:rPr>
        <w:t xml:space="preserve"> on the weighted daily average of the aggregate Unpaid Balances of the Receivables for the preceding calendar month, or (ii) at any time when the Servicer is not an Affiliate of Greif, Inc., the amount determined upon the agreement of the Servicer, and the Agent, payable in arrears on each Settlement Date from Collections pursuant to, and subject to the priority of payments set forth in,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With respect to any Portion of Investment, the Servicing Fee allocable thereto shall be equal to the Servicing Fee determined as set forth above,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a fraction, the numerator of which is the amount of such Portion of Investment and the denominator of which is the Net Investment.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Servicing Fee Reserve Ratio</w:t>
      </w:r>
      <w:r>
        <w:rPr>
          <w:rFonts w:ascii="Times New Roman" w:cs="Times New Roman" w:eastAsia="Times New Roman" w:hAnsi="Times New Roman"/>
          <w:sz w:val="22"/>
          <w:szCs w:val="22"/>
          <w:color w:val="auto"/>
        </w:rPr>
        <w:t xml:space="preserve">” means, at any time, the quotient, expressed as a percentage, of (a) the product of (i) 1.5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(ii) the current Servicing Fee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(iii) the Days Sales Outstanding in effect on such date,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the number of days in the calendar year in which such Servicing Fee rate is calculated (i.e., 365/366).</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(a) prior to the Termination Date, the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(or, if such day is not a Business Day, the immediately succeeding Business Day) or such other day as agreed upon in writing by the SPV and the Agent, after consultation with the Managing Agents, and (b) for any Portion of Investment on and after the Termination Date, each day selected from time to time by the Agent, after consultation with the Managing Agents (it being understood that the Agent may select such Settlement Date to occur as frequently as daily) or, in the absence of any such selection, the date which would be the Settlement Date for such Portion of Investment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of this definition.</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Sherwin-Williams Receivable</w:t>
      </w:r>
      <w:r>
        <w:rPr>
          <w:rFonts w:ascii="Times New Roman" w:cs="Times New Roman" w:eastAsia="Times New Roman" w:hAnsi="Times New Roman"/>
          <w:sz w:val="22"/>
          <w:szCs w:val="22"/>
          <w:color w:val="auto"/>
        </w:rPr>
        <w:t>” means any Receivable originated by the Container Life Originator which is owing by any of the following Obligors: The Sherwin-Williams Company, Valspar, Inc., the Sherwin-Williams Manufacturing Company, Sherwin-Williams Canada Inc., Acquire Sourcing, LLC, The Sherwin Williams Headquarters Company, Contract Transportation Systems Co., CTS National Corporation and other such affiliates of The Sherwin-Williams Company designated as a “Buyer” under that Receivables Purchase Agreement.</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for any date, a rate equal to the secured overnight financing rate as administered by the Federal Reserve Bank of New York (or a successor administrator of the secured overnight financing 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has the meaning provided in the First Tier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2" w:right="339" w:bottom="1440" w:gutter="0" w:footer="0" w:header="0"/>
        </w:sectPr>
      </w:pPr>
    </w:p>
    <w:bookmarkStart w:id="73" w:name="page74"/>
    <w:bookmarkEnd w:id="73"/>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Concentration Percentage</w:t>
      </w:r>
      <w:r>
        <w:rPr>
          <w:rFonts w:ascii="Times New Roman" w:cs="Times New Roman" w:eastAsia="Times New Roman" w:hAnsi="Times New Roman"/>
          <w:sz w:val="22"/>
          <w:szCs w:val="22"/>
          <w:color w:val="auto"/>
        </w:rPr>
        <w:t xml:space="preserve">” means, for any Special Obligor, the “Special Concentration Percentage” assigned to such Special Obligor and agreed to in writing by the agent, the Majority Investors and the SPV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Obligor</w:t>
      </w:r>
      <w:r>
        <w:rPr>
          <w:rFonts w:ascii="Times New Roman" w:cs="Times New Roman" w:eastAsia="Times New Roman" w:hAnsi="Times New Roman"/>
          <w:sz w:val="22"/>
          <w:szCs w:val="22"/>
          <w:color w:val="auto"/>
        </w:rPr>
        <w:t xml:space="preserve">” means any Obligor designated as a “Special Obligor” after the Closing Date by the Agent and the SPV pursuant to a written notice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Agent and the Majority Investors may revoke the designation of any Obligor as a Special Obligor at any time upon two (2) Business Days’ prior written notice to the SPV;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without regard to any notice requirements, on the Closing Date no Obligor shall be a Special Obligor.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 xml:space="preserve">” is defined in the </w:t>
      </w:r>
      <w:r>
        <w:rPr>
          <w:rFonts w:ascii="Times New Roman" w:cs="Times New Roman" w:eastAsia="Times New Roman" w:hAnsi="Times New Roman"/>
          <w:sz w:val="22"/>
          <w:szCs w:val="22"/>
          <w:u w:val="single" w:color="auto"/>
          <w:color w:val="auto"/>
        </w:rPr>
        <w:t>Preamble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Stress Factor</w:t>
      </w:r>
      <w:r>
        <w:rPr>
          <w:rFonts w:ascii="Times New Roman" w:cs="Times New Roman" w:eastAsia="Times New Roman" w:hAnsi="Times New Roman"/>
          <w:sz w:val="22"/>
          <w:szCs w:val="22"/>
          <w:color w:val="auto"/>
        </w:rPr>
        <w:t>” means 2.0.</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or other Person (a) of which securities or other ownership interests having ordinary voting power to elect a majority of the board of directors or other Persons performing similar functions are at the time directly or indirectly owned by such Person or (b) that is directly or indirectly controlled by such Person within the meaning of control under Section 15 of the Securities Act of 1933.</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2" w:right="339" w:bottom="1440" w:gutter="0" w:footer="0" w:header="0"/>
        </w:sectPr>
      </w:pPr>
    </w:p>
    <w:bookmarkStart w:id="74" w:name="page75"/>
    <w:bookmarkEnd w:id="74"/>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Synthetic Debt</w:t>
      </w:r>
      <w:r>
        <w:rPr>
          <w:rFonts w:ascii="Times New Roman" w:cs="Times New Roman" w:eastAsia="Times New Roman" w:hAnsi="Times New Roman"/>
          <w:sz w:val="21"/>
          <w:szCs w:val="21"/>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with respect to any Portion of Investment for any Rate Period for which Yield is computed by reference to Term SOFR, the rate per annum determined by the Agent (rounded upwards, at the Agent’s discretion, to the nearest 1/100th of 1%) equal to the Term SOFR Reference Rate for a tenor of one month, as such rate is published by the Term SOFR Administrator, on the day (the “</w:t>
      </w:r>
      <w:r>
        <w:rPr>
          <w:rFonts w:ascii="Times New Roman" w:cs="Times New Roman" w:eastAsia="Times New Roman" w:hAnsi="Times New Roman"/>
          <w:sz w:val="22"/>
          <w:szCs w:val="22"/>
          <w:u w:val="single" w:color="auto"/>
          <w:color w:val="auto"/>
        </w:rPr>
        <w:t>Term SOFR Determination Date</w:t>
      </w:r>
      <w:r>
        <w:rPr>
          <w:rFonts w:ascii="Times New Roman" w:cs="Times New Roman" w:eastAsia="Times New Roman" w:hAnsi="Times New Roman"/>
          <w:sz w:val="22"/>
          <w:szCs w:val="22"/>
          <w:color w:val="auto"/>
        </w:rPr>
        <w:t>”) that is two (2) Business Days prior to the first day of such Rate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Term SOFR, determined as provided above, would be less than the Floor, then Term SOFR shall be deemed to be the Floor. Term SOFR shall be adjusted automatically without notice to the SPV on and as of the first day of each Rate Period.</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Agent in its reasonable discretion).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Determination Date</w:t>
      </w:r>
      <w:r>
        <w:rPr>
          <w:rFonts w:ascii="Times New Roman" w:cs="Times New Roman" w:eastAsia="Times New Roman" w:hAnsi="Times New Roman"/>
          <w:sz w:val="22"/>
          <w:szCs w:val="22"/>
          <w:color w:val="auto"/>
        </w:rPr>
        <w:t>” is defined in the definition of “Term SOFR”.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means the earliest of (a) the Business Day designated by the SPV to the Agent and the Managing Agents as the Termination Date at any time following not less than five (5) days’ written notice to the Agent and the Managing Agents, (b) the day upon which the Termination Date is declared or automatically occurs pursuant to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and (c) the Commitment Termination Date.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2"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Three-Month Days Sales Outstanding</w:t>
      </w:r>
      <w:r>
        <w:rPr>
          <w:rFonts w:ascii="Times New Roman" w:cs="Times New Roman" w:eastAsia="Times New Roman" w:hAnsi="Times New Roman"/>
          <w:sz w:val="22"/>
          <w:szCs w:val="22"/>
          <w:color w:val="auto"/>
        </w:rPr>
        <w:t>” means, for any Calculation Period, the average of the Days Sales Outstanding for such Calculation Period and each of the two immediately preceding Calculation Periods.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Three-Month Default Ratio</w:t>
      </w:r>
      <w:r>
        <w:rPr>
          <w:rFonts w:ascii="Times New Roman" w:cs="Times New Roman" w:eastAsia="Times New Roman" w:hAnsi="Times New Roman"/>
          <w:sz w:val="22"/>
          <w:szCs w:val="22"/>
          <w:color w:val="auto"/>
        </w:rPr>
        <w:t>” means, for any Calculation Period, the average of the Default Ratio for such Calculation Period and each of the two immediately preceding Calculation Periods.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Three-Month Delinquency Ratio</w:t>
      </w:r>
      <w:r>
        <w:rPr>
          <w:rFonts w:ascii="Times New Roman" w:cs="Times New Roman" w:eastAsia="Times New Roman" w:hAnsi="Times New Roman"/>
          <w:sz w:val="22"/>
          <w:szCs w:val="22"/>
          <w:color w:val="auto"/>
        </w:rPr>
        <w:t>” means, for any Calculation Period, the average of the Delinquency Ratio for such Calculation Period and each of the two immediately preceding Calculation Periods.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9.6(a)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means, collectively, this Agreement, the First Tier Agreement, the Fee Letters, the Administrative Fee Letter, the Blocked Account Agreements, Guaranty, each Assignment and Assumption Agreement, the Disclosure Letter, the Notice Letter Agreement and all of the other instruments, documents and other agreements executed and delivered by the Servicer, any Originator or the SPV in connection with any of the foregoing.</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shall exist (a) at any time Greif, Inc. has a corporate family rating from Moody’s or S&amp;P, if Greif, Inc.’s corporate family rating is below “BB-” by S&amp;P or “Ba3” by Moody’s or (b) at any time Grief, Inc. does not have a corporate family rating from Moody’s or S&amp;P, if the Leverage Ratio (as defined in any Senior Credit Agreement) as of the last day of any fiscal quarter of Greif, Inc. is greater than 3.75:1.00.</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Two-Month Dilution Ratio</w:t>
      </w:r>
      <w:r>
        <w:rPr>
          <w:rFonts w:ascii="Times New Roman" w:cs="Times New Roman" w:eastAsia="Times New Roman" w:hAnsi="Times New Roman"/>
          <w:sz w:val="22"/>
          <w:szCs w:val="22"/>
          <w:color w:val="auto"/>
        </w:rPr>
        <w:t>” means, for any Calculation Period, the average of the Dilution Ratio for such Calculation Period and the immediately preceding Calculation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means the Uniform Commercial Code as in effect in the applicable jurisdiction or jurisdictions.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76" w:name="page77"/>
    <w:bookmarkEnd w:id="76"/>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Uncommitted Investor</w:t>
      </w:r>
      <w:r>
        <w:rPr>
          <w:rFonts w:ascii="Times New Roman" w:cs="Times New Roman" w:eastAsia="Times New Roman" w:hAnsi="Times New Roman"/>
          <w:sz w:val="22"/>
          <w:szCs w:val="22"/>
          <w:color w:val="auto"/>
        </w:rPr>
        <w:t>” means any Conduit Investor designated as an “Uncommitted Investor” for any Investor Group and any of their respective Conduit Assignees.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Balance</w:t>
      </w:r>
      <w:r>
        <w:rPr>
          <w:rFonts w:ascii="Times New Roman" w:cs="Times New Roman" w:eastAsia="Times New Roman" w:hAnsi="Times New Roman"/>
          <w:sz w:val="22"/>
          <w:szCs w:val="22"/>
          <w:color w:val="auto"/>
        </w:rPr>
        <w:t>” of any Receivable means at any time the unpaid principal amount thereof.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9.5(iii)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Volcker Rule</w:t>
      </w:r>
      <w:r>
        <w:rPr>
          <w:rFonts w:ascii="Times New Roman" w:cs="Times New Roman" w:eastAsia="Times New Roman" w:hAnsi="Times New Roman"/>
          <w:sz w:val="22"/>
          <w:szCs w:val="22"/>
          <w:color w:val="auto"/>
        </w:rPr>
        <w:t>” means Section 13 of the U.S. Bank Holding Company Act of 1956, as amended, and the applicable rules and regulations thereunder.</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Weighted Average Payment Terms</w:t>
      </w:r>
      <w:r>
        <w:rPr>
          <w:rFonts w:ascii="Times New Roman" w:cs="Times New Roman" w:eastAsia="Times New Roman" w:hAnsi="Times New Roman"/>
          <w:sz w:val="22"/>
          <w:szCs w:val="22"/>
          <w:color w:val="auto"/>
        </w:rPr>
        <w:t>” means, on any date, the weighted average payment terms (computed in days and calculated based on the difference between the original invoice date and the stated maturity date) of invoices for Receivables which constitute Eligible Receivables, divided by 30.</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w:t>
      </w:r>
      <w:r>
        <w:rPr>
          <w:rFonts w:ascii="Times New Roman" w:cs="Times New Roman" w:eastAsia="Times New Roman" w:hAnsi="Times New Roman"/>
          <w:sz w:val="22"/>
          <w:szCs w:val="22"/>
          <w:color w:val="auto"/>
        </w:rPr>
        <w:t>” means Wells Fargo Bank, N.A.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 Administrator</w:t>
      </w:r>
      <w:r>
        <w:rPr>
          <w:rFonts w:ascii="Times New Roman" w:cs="Times New Roman" w:eastAsia="Times New Roman" w:hAnsi="Times New Roman"/>
          <w:sz w:val="22"/>
          <w:szCs w:val="22"/>
          <w:color w:val="auto"/>
        </w:rPr>
        <w:t>” means Wells or an Affiliate thereof, as administrator for the Wells Investor Group.</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 Committed Investor</w:t>
      </w:r>
      <w:r>
        <w:rPr>
          <w:rFonts w:ascii="Times New Roman" w:cs="Times New Roman" w:eastAsia="Times New Roman" w:hAnsi="Times New Roman"/>
          <w:sz w:val="22"/>
          <w:szCs w:val="22"/>
          <w:color w:val="auto"/>
        </w:rPr>
        <w:t>” means each financial institution party to this Agreement as a Wells Committed Investor.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 Investor Group</w:t>
      </w:r>
      <w:r>
        <w:rPr>
          <w:rFonts w:ascii="Times New Roman" w:cs="Times New Roman" w:eastAsia="Times New Roman" w:hAnsi="Times New Roman"/>
          <w:sz w:val="22"/>
          <w:szCs w:val="22"/>
          <w:color w:val="auto"/>
        </w:rPr>
        <w:t>” is defined in the definition of “Investor Group”.</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77" w:name="page78"/>
    <w:bookmarkEnd w:id="77"/>
    <w:p>
      <w:pPr>
        <w:spacing w:after="0" w:line="271" w:lineRule="auto"/>
        <w:rPr>
          <w:sz w:val="20"/>
          <w:szCs w:val="20"/>
          <w:color w:val="auto"/>
        </w:rPr>
      </w:pPr>
      <w:r>
        <w:rPr>
          <w:rFonts w:ascii="Times New Roman" w:cs="Times New Roman" w:eastAsia="Times New Roman" w:hAnsi="Times New Roman"/>
          <w:sz w:val="22"/>
          <w:szCs w:val="22"/>
          <w:color w:val="auto"/>
        </w:rPr>
        <w:t>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w:t>
      </w:r>
      <w:r>
        <w:rPr>
          <w:rFonts w:ascii="Times New Roman" w:cs="Times New Roman" w:eastAsia="Times New Roman" w:hAnsi="Times New Roman"/>
          <w:sz w:val="22"/>
          <w:szCs w:val="22"/>
          <w:color w:val="auto"/>
        </w:rPr>
        <w:t>” means, for any Rate Period, the sum for each day in such Rate Period of:</w:t>
      </w:r>
    </w:p>
    <w:p>
      <w:pPr>
        <w:spacing w:after="0" w:line="233" w:lineRule="exact"/>
        <w:rPr>
          <w:sz w:val="20"/>
          <w:szCs w:val="20"/>
          <w:color w:val="auto"/>
        </w:rPr>
      </w:pPr>
    </w:p>
    <w:p>
      <w:pPr>
        <w:jc w:val="both"/>
        <w:ind w:left="1300" w:firstLine="652"/>
        <w:spacing w:after="0" w:line="257" w:lineRule="auto"/>
        <w:tabs>
          <w:tab w:leader="none" w:pos="258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Portion of Investment to the extent a Conduit Investor funds such Portion of Investment through the issuance of Commercial Paper (directly or indirectly through a related commercial paper issuer) on such day (such Portion of Investment, a “</w:t>
      </w:r>
      <w:r>
        <w:rPr>
          <w:rFonts w:ascii="Times New Roman" w:cs="Times New Roman" w:eastAsia="Times New Roman" w:hAnsi="Times New Roman"/>
          <w:sz w:val="22"/>
          <w:szCs w:val="22"/>
          <w:u w:val="single" w:color="auto"/>
          <w:color w:val="auto"/>
        </w:rPr>
        <w:t>CP Portion of Investment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9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Portion of Investment funded by a Committed Investor on such day and for any Portion of Investment to the extent a Conduit Investor will not be funding such Portion of Investment through the issuance of Commercial Paper (directly or indirectly through a related commercial paper issuer) on such day (such Portion of Investment, a “</w:t>
      </w:r>
      <w:r>
        <w:rPr>
          <w:rFonts w:ascii="Times New Roman" w:cs="Times New Roman" w:eastAsia="Times New Roman" w:hAnsi="Times New Roman"/>
          <w:sz w:val="22"/>
          <w:szCs w:val="22"/>
          <w:u w:val="single" w:color="auto"/>
          <w:color w:val="auto"/>
        </w:rPr>
        <w:t>Alternate Rate Portion of Investment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-1445260</wp:posOffset>
            </wp:positionV>
            <wp:extent cx="1431290" cy="582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31290" cy="58293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131445</wp:posOffset>
            </wp:positionV>
            <wp:extent cx="1337310" cy="625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731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422" w:right="339" w:bottom="1440" w:gutter="0" w:footer="0" w:header="0"/>
        </w:sectPr>
      </w:pP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Alternate Rate for such Portion of Investment for such day,</w:t>
      </w:r>
    </w:p>
    <w:p>
      <w:pPr>
        <w:spacing w:after="0" w:line="200" w:lineRule="exact"/>
        <w:rPr>
          <w:sz w:val="20"/>
          <w:szCs w:val="20"/>
          <w:color w:val="auto"/>
        </w:rPr>
      </w:pPr>
    </w:p>
    <w:p>
      <w:pPr>
        <w:sectPr>
          <w:pgSz w:w="11900" w:h="16838" w:orient="portrait"/>
          <w:cols w:equalWidth="0" w:num="3">
            <w:col w:w="1600" w:space="220"/>
            <w:col w:w="120" w:space="280"/>
            <w:col w:w="9020"/>
          </w:cols>
          <w:pgMar w:left="320" w:top="1422" w:right="339" w:bottom="1440" w:gutter="0" w:footer="0" w:header="0"/>
          <w:type w:val="continuous"/>
        </w:sectPr>
      </w:pP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CPR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CP Rate for such Conduit Investor for such Portion of Investment for such day,</w:t>
      </w:r>
    </w:p>
    <w:p>
      <w:pPr>
        <w:spacing w:after="0" w:line="200" w:lineRule="exact"/>
        <w:rPr>
          <w:sz w:val="20"/>
          <w:szCs w:val="20"/>
          <w:color w:val="auto"/>
        </w:rPr>
      </w:pPr>
    </w:p>
    <w:p>
      <w:pPr>
        <w:sectPr>
          <w:pgSz w:w="11900" w:h="16838" w:orient="portrait"/>
          <w:cols w:equalWidth="0" w:num="2">
            <w:col w:w="1720" w:space="260"/>
            <w:col w:w="9260"/>
          </w:cols>
          <w:pgMar w:left="320" w:top="1422" w:right="339" w:bottom="1440" w:gutter="0" w:footer="0" w:header="0"/>
          <w:type w:val="continuous"/>
        </w:sectPr>
      </w:pPr>
    </w:p>
    <w:p>
      <w:pPr>
        <w:spacing w:after="0" w:line="20" w:lineRule="exact"/>
        <w:rPr>
          <w:sz w:val="20"/>
          <w:szCs w:val="20"/>
          <w:color w:val="auto"/>
        </w:rPr>
      </w:pPr>
    </w:p>
    <w:p>
      <w:pPr>
        <w:ind w:left="1680" w:hanging="376"/>
        <w:spacing w:after="0"/>
        <w:tabs>
          <w:tab w:leader="none" w:pos="16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1, and</w:t>
      </w:r>
    </w:p>
    <w:p>
      <w:pPr>
        <w:spacing w:after="0" w:line="220" w:lineRule="exact"/>
        <w:rPr>
          <w:sz w:val="20"/>
          <w:szCs w:val="20"/>
          <w:color w:val="auto"/>
        </w:rPr>
      </w:pPr>
    </w:p>
    <w:p>
      <w:pPr>
        <w:ind w:left="1300"/>
        <w:spacing w:after="0"/>
        <w:tabs>
          <w:tab w:leader="none" w:pos="1580" w:val="left"/>
          <w:tab w:leader="none" w:pos="1900" w:val="left"/>
        </w:tabs>
        <w:rPr>
          <w:sz w:val="20"/>
          <w:szCs w:val="20"/>
          <w:color w:val="auto"/>
        </w:rPr>
      </w:pPr>
      <w:r>
        <w:rPr>
          <w:rFonts w:ascii="Times New Roman" w:cs="Times New Roman" w:eastAsia="Times New Roman" w:hAnsi="Times New Roman"/>
          <w:sz w:val="22"/>
          <w:szCs w:val="22"/>
          <w:color w:val="auto"/>
        </w:rPr>
        <w:t>I</w:t>
        <w:tab/>
        <w:t>=</w:t>
      </w:r>
      <w:r>
        <w:rPr>
          <w:sz w:val="20"/>
          <w:szCs w:val="20"/>
          <w:color w:val="auto"/>
        </w:rPr>
        <w:tab/>
      </w:r>
      <w:r>
        <w:rPr>
          <w:rFonts w:ascii="Times New Roman" w:cs="Times New Roman" w:eastAsia="Times New Roman" w:hAnsi="Times New Roman"/>
          <w:sz w:val="21"/>
          <w:szCs w:val="21"/>
          <w:color w:val="auto"/>
        </w:rPr>
        <w:t>such Portion of Investment for such day;</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provision of this Agreement shall require the payment or permit the collection of Yield in excess of the maximum permitted by applicable law;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notwithstanding the forgoing, all computations of Yield based on the Base Rate shall be based on a year of 365 or 366 days, as applicable.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Rate</w:t>
      </w:r>
      <w:r>
        <w:rPr>
          <w:rFonts w:ascii="Times New Roman" w:cs="Times New Roman" w:eastAsia="Times New Roman" w:hAnsi="Times New Roman"/>
          <w:sz w:val="22"/>
          <w:szCs w:val="22"/>
          <w:color w:val="auto"/>
        </w:rPr>
        <w:t xml:space="preserve">” means, for any day during a Rate Period for any Portion of Investment, the sum of either (x) if the SPV has elected for such Portion of Investment to accrue interest by reference to Term SOFR during such Rate Period in accordance with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 Term SOFR for such Rate Period, or (y) otherwise, Daily 1M SOFR for such day.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type w:val="continuous"/>
        </w:sectPr>
      </w:pPr>
    </w:p>
    <w:bookmarkStart w:id="78" w:name="page79"/>
    <w:bookmarkEnd w:id="78"/>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Yield Reserve Ratio</w:t>
      </w:r>
      <w:r>
        <w:rPr>
          <w:rFonts w:ascii="Times New Roman" w:cs="Times New Roman" w:eastAsia="Times New Roman" w:hAnsi="Times New Roman"/>
          <w:sz w:val="22"/>
          <w:szCs w:val="22"/>
          <w:color w:val="auto"/>
        </w:rPr>
        <w:t xml:space="preserve">” means, as of any date of determination, the quotient, expressed as a percentage, of (a) the product of (i) 1.5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(ii) the Days Sales Outstanding in effect on such date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(iii) the Base Rate in effect on such date (as determined by the Agent), </w:t>
      </w:r>
      <w:r>
        <w:rPr>
          <w:rFonts w:ascii="Times New Roman" w:cs="Times New Roman" w:eastAsia="Times New Roman" w:hAnsi="Times New Roman"/>
          <w:sz w:val="22"/>
          <w:szCs w:val="22"/>
          <w:u w:val="single" w:color="auto"/>
          <w:color w:val="auto"/>
        </w:rPr>
        <w:t>divided by</w:t>
      </w:r>
      <w:r>
        <w:rPr>
          <w:rFonts w:ascii="Times New Roman" w:cs="Times New Roman" w:eastAsia="Times New Roman" w:hAnsi="Times New Roman"/>
          <w:sz w:val="22"/>
          <w:szCs w:val="22"/>
          <w:color w:val="auto"/>
        </w:rPr>
        <w:t xml:space="preserve"> (b) the number of days in the calendar year in which such Base Rate is calculated (i.e., 365/366).</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Other Terms</w:t>
      </w:r>
      <w:r>
        <w:rPr>
          <w:rFonts w:ascii="Times New Roman" w:cs="Times New Roman" w:eastAsia="Times New Roman" w:hAnsi="Times New Roman"/>
          <w:sz w:val="22"/>
          <w:szCs w:val="22"/>
          <w:color w:val="auto"/>
        </w:rPr>
        <w:t>. All terms defined directly or by incorporation herein shall have the defined meanings when used in any certificate or other document delivered pursuant thereto unless otherwise defined therein. For purposes of this Agreement and all such certificates and other documents, unless the context otherwise requires: (a) accounting terms not otherwise defined herein, and accounting terms partly defined herein to the extent not defined, shall have the respective meanings given to them under, and shall be construed in accordance with, GAAP; (b) terms used in Article 9 of the UCC in the State of New York, and not specifically defined herein, are used herein as defined in such Article 9; (c) references to any amount as on deposit or outstanding on any particular date means such amount at the close of business on such day; (d) the words “hereof,” “herein” and “hereunder” and words of similar import refer to this Agreement (or the certificate or other document in which they are used) as a whole and not to any particular provision of this Agreement (or such certificate or document); (e) references to any Section, Schedule or Exhibit are references to Sections, Schedules and Exhibits in or to this Agreement (or the certificate or other document in which the reference is made) and references to any paragraph, subsection, clause or other subdivision within any Section or definition refer to such paragraph, subsection, clause or other subdivision of such Section or definition; (f) the term “including” means “including without limitation”; (g) references to any Law refer to that Law as amended from time to time and include any successor Law; (h) references to any agreement refer to that agreement as from time to time amended or supplemented or as the terms of such agreement are waived or modified in accordance with its terms; (i) references to any Person include that Person’s successors and permitted assigns; and (j) headings are for purposes of reference only and shall not otherwise affect the meaning or interpretation of any provision hereof.</w:t>
      </w:r>
    </w:p>
    <w:p>
      <w:pPr>
        <w:spacing w:after="0" w:line="1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Computation of Time Periods</w:t>
      </w:r>
      <w:r>
        <w:rPr>
          <w:rFonts w:ascii="Times New Roman" w:cs="Times New Roman" w:eastAsia="Times New Roman" w:hAnsi="Times New Roman"/>
          <w:sz w:val="22"/>
          <w:szCs w:val="22"/>
          <w:color w:val="auto"/>
        </w:rPr>
        <w:t>. Unless otherwise stated in this Agreement, in the computation of a period of time from a specified date to a later specified date, the word “from” means “from and including”, the words “to” and “until” each means “to but excluding”, and the word “within” means “from and excluding a specified date and to and including a later specified date”.</w:t>
      </w:r>
    </w:p>
    <w:p>
      <w:pPr>
        <w:spacing w:after="0" w:line="18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Times of Day</w:t>
      </w:r>
      <w:r>
        <w:rPr>
          <w:rFonts w:ascii="Times New Roman" w:cs="Times New Roman" w:eastAsia="Times New Roman" w:hAnsi="Times New Roman"/>
          <w:sz w:val="22"/>
          <w:szCs w:val="22"/>
          <w:color w:val="auto"/>
        </w:rPr>
        <w:t>. Unless otherwise specified in this Agreement, time references are to time in New York, New York.</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would affect the computation of any financial ratio or requirement set forth in any Transaction Document, and either the SPV or the Majority Investors shall so request, the Agent, the Investors and the SPV shall negotiate in good faith to amend such ratio or requirement to preserve the original intent thereof in light of such change in GAAP (subject to the approval of the Majority Investors);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(i) such ratio or requirement shall continue to be computed in accordance with GAAP prior to such change therein and (ii) the SPV shall provide to the Agent</w:t>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72" w:lineRule="auto"/>
        <w:rPr>
          <w:sz w:val="20"/>
          <w:szCs w:val="20"/>
          <w:color w:val="auto"/>
        </w:rPr>
      </w:pPr>
      <w:r>
        <w:rPr>
          <w:rFonts w:ascii="Times New Roman" w:cs="Times New Roman" w:eastAsia="Times New Roman" w:hAnsi="Times New Roman"/>
          <w:sz w:val="21"/>
          <w:szCs w:val="21"/>
          <w:color w:val="auto"/>
        </w:rPr>
        <w:t>and the Investors financial statements and other documents required under this Agreement or as reasonably requested hereunder setting forth a reconciliation between calculations of such ratio or requirement made before and after giving effect to such change in GAAP. Notwithstanding the foregoing, with respect to the accounting for leases as either operating leases or capital leases, the impact of FASB ASC 840 and FASB ASC 842 or any subsequent pronouncement having similar effect shall be disregarded.</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Yield Rates</w:t>
      </w:r>
      <w:r>
        <w:rPr>
          <w:rFonts w:ascii="Times New Roman" w:cs="Times New Roman" w:eastAsia="Times New Roman" w:hAnsi="Times New Roman"/>
          <w:sz w:val="22"/>
          <w:szCs w:val="22"/>
          <w:color w:val="auto"/>
        </w:rPr>
        <w:t>. The Agent does not warrant, nor accept responsibility, nor shall the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(or any component of any of the foregoing) or the effect of any of the foregoing, or of any Benchmark Replacement Conforming Changes. The Agent and its affiliates or other related entities may engage in transactions or other activities that affect any reference rate referred to herein, or any alternative, successor or replacement rate (or any component of any of the foregoing) or any related spread or other adjustments thereto, in each case, in a manner adverse to the SPV. The Agent may select information sources or services in its reasonable discretion to ascertain any reference rate referred to herein or any alternative, successor or replacement rate (or any component of any of the foregoing), in each case pursuant to the terms of this Agreement, and shall have no liability to the SPV, any Investor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Acknowledgments Regarding Conduit Investors and Uncommitted Investors</w:t>
      </w:r>
      <w:r>
        <w:rPr>
          <w:rFonts w:ascii="Times New Roman" w:cs="Times New Roman" w:eastAsia="Times New Roman" w:hAnsi="Times New Roman"/>
          <w:sz w:val="22"/>
          <w:szCs w:val="22"/>
          <w:color w:val="auto"/>
        </w:rPr>
        <w:t>. Notwithstanding anything contained herein to the contrary, the parties hereto acknowledge and agree that, as of the Closing Date, there are no Conduit Investors party to, and there are no Uncommitted Investors designated as such under, this Agreement.</w:t>
      </w:r>
    </w:p>
    <w:p>
      <w:pPr>
        <w:spacing w:after="0" w:line="1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PURCHASES AND SETTLEMENTS</w:t>
      </w:r>
    </w:p>
    <w:p>
      <w:pPr>
        <w:spacing w:after="0" w:line="2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Transfer of Affected Assets; Intended Characterization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of Asset Interest</w:t>
      </w:r>
      <w:r>
        <w:rPr>
          <w:rFonts w:ascii="Times New Roman" w:cs="Times New Roman" w:eastAsia="Times New Roman" w:hAnsi="Times New Roman"/>
          <w:sz w:val="22"/>
          <w:szCs w:val="22"/>
          <w:color w:val="auto"/>
        </w:rPr>
        <w:t xml:space="preserve">. In consideration of the payment by each Managing Agent (on behalf of the applicable Investors in the related Investor Group as determined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of the Existing Agreement and of this Agreement) of the amount of the applicable Investor Group Percentage of the initial Investment on the Existing Agreement Closing Date and each Managing Agent’s agreement (on behalf of the applicable Investors as determined below) to make payments to the SPV from time to time in accordance with </w:t>
      </w:r>
      <w:r>
        <w:rPr>
          <w:rFonts w:ascii="Times New Roman" w:cs="Times New Roman" w:eastAsia="Times New Roman" w:hAnsi="Times New Roman"/>
          <w:sz w:val="22"/>
          <w:szCs w:val="22"/>
          <w:u w:val="single" w:color="auto"/>
          <w:color w:val="auto"/>
        </w:rPr>
        <w:t>Sections 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of the Existing Agreement and of this Agreement, effective upon the SPV’s (or its designee’s) receipt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51" w:lineRule="auto"/>
        <w:rPr>
          <w:sz w:val="20"/>
          <w:szCs w:val="20"/>
          <w:color w:val="auto"/>
        </w:rPr>
      </w:pPr>
      <w:r>
        <w:rPr>
          <w:rFonts w:ascii="Times New Roman" w:cs="Times New Roman" w:eastAsia="Times New Roman" w:hAnsi="Times New Roman"/>
          <w:sz w:val="22"/>
          <w:szCs w:val="22"/>
          <w:color w:val="auto"/>
        </w:rPr>
        <w:t>of payment for such Investment on the Existing Agreement Closing Date, the SPV sold, conveyed, transferred and assigned, and as of the Closing Date, hereby sells, conveys, transfers and assigns, to the Agent, on behalf of the Investors, (i) all Receivables existing on the Existing Agreement Closing Date or thereafter arising or acquired by the SPV from time to time prior to the date hereof under the Existing First Tier Agreement and under the First Tier Agreement, and (ii) all other Affected Assets, whether existing on the Existing Agreement Closing Date or thereafter arising at any time and acquired by the SPV under the Existing First Tier Agreement and under the First Tier Agreement.</w:t>
      </w:r>
    </w:p>
    <w:p>
      <w:pPr>
        <w:spacing w:after="0" w:line="181" w:lineRule="exact"/>
        <w:rPr>
          <w:sz w:val="20"/>
          <w:szCs w:val="20"/>
          <w:color w:val="auto"/>
        </w:rPr>
      </w:pPr>
    </w:p>
    <w:p>
      <w:pPr>
        <w:jc w:val="both"/>
        <w:ind w:firstLine="1304"/>
        <w:spacing w:after="0" w:line="250" w:lineRule="auto"/>
        <w:tabs>
          <w:tab w:leader="none" w:pos="19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of Asset Interest</w:t>
      </w:r>
      <w:r>
        <w:rPr>
          <w:rFonts w:ascii="Times New Roman" w:cs="Times New Roman" w:eastAsia="Times New Roman" w:hAnsi="Times New Roman"/>
          <w:sz w:val="22"/>
          <w:szCs w:val="22"/>
          <w:color w:val="auto"/>
        </w:rPr>
        <w:t xml:space="preserve">. Subject to the terms and conditions hereof, the Agent (on behalf of the Investors) hereby purchases and accepts from the SPV the Receivables and all other Affected Assets sold, assigned and transferred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The Agent’s right, title and interest in and to such Receivables and all other Affected Assets (on behalf of the Investors) hereunder is herein called the “</w:t>
      </w:r>
      <w:r>
        <w:rPr>
          <w:rFonts w:ascii="Times New Roman" w:cs="Times New Roman" w:eastAsia="Times New Roman" w:hAnsi="Times New Roman"/>
          <w:sz w:val="22"/>
          <w:szCs w:val="22"/>
          <w:u w:val="single" w:color="auto"/>
          <w:color w:val="auto"/>
        </w:rPr>
        <w:t>Asset Interest</w:t>
      </w:r>
      <w:r>
        <w:rPr>
          <w:rFonts w:ascii="Times New Roman" w:cs="Times New Roman" w:eastAsia="Times New Roman" w:hAnsi="Times New Roman"/>
          <w:sz w:val="22"/>
          <w:szCs w:val="22"/>
          <w:color w:val="auto"/>
        </w:rPr>
        <w:t xml:space="preserve">”. Each Investment hereunder shall be made by the Investor Groups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according to their respective Investor Group Percentages. The Agent shall hold the Asset Interest on behalf of the Investors in each Investor Group in accordance with the respective portions of the Net Investment funded by that Investor Group from time to time. Within each Investor Group, the Agent shall hold the applicable Investor Group Percentage of the Asset Interest on behalf of the Investors in that Investor Group in accordance with the respective outstanding portions of the Net Investment funded by them.</w:t>
      </w:r>
    </w:p>
    <w:p>
      <w:pPr>
        <w:spacing w:after="0" w:line="17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Not Assumed</w:t>
      </w:r>
      <w:r>
        <w:rPr>
          <w:rFonts w:ascii="Times New Roman" w:cs="Times New Roman" w:eastAsia="Times New Roman" w:hAnsi="Times New Roman"/>
          <w:sz w:val="22"/>
          <w:szCs w:val="22"/>
          <w:color w:val="auto"/>
        </w:rPr>
        <w:t>. The foregoing sale, assignment and transfer does not constitute and is not intended to result in the creation, or an assumption by the Agent, the Managing Agents or any Investor, of any obligation of the SPV, any Originator, or any other Person under or in connection with the Receivables or any other Affected Asset, all of which shall remain the obligations and liabilities of the SPV and/or the Originators, as applicable.</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Intended Characterization; Grant of Security Interest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58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the Agent, the Managing Agents and the Investors intend that the sale, assignment and transfer of the Affected Assets to the Agent (on behalf of the Investors) hereunder shall be treated as a sale for all purposes, other than accounting and federal and state income tax purposes. If notwithstanding the intent of the parties, the sale, assignment and transfer of the Affected Assets to the Agent (on behalf of the Investors) is not treated as a sale for all purposes, other than accounting and federal and state income tax purposes, the sale, assignment and transfer of the Affected Assets shall be treated as the grant of, and the SPV hereby does grant, a security interest in the Affected Assets to secure the payment and performance of the SPV’s obligations to the Agent (on behalf of the Investors) hereunder and under the other Transaction Documents or as may be determined in connection therewith by applicable Law. The SPV and Agent agree, and each Investor by acquiring an Investment or other interest in the Affected Assets agrees, to treat and report such Investment or other interests in the Affected Assets as indebtedness for U.S. federal and state income tax purposes.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81" w:name="page82"/>
    <w:bookmarkEnd w:id="81"/>
    <w:p>
      <w:pPr>
        <w:jc w:val="both"/>
        <w:ind w:left="1300" w:right="20"/>
        <w:spacing w:after="0" w:line="275" w:lineRule="auto"/>
        <w:rPr>
          <w:sz w:val="20"/>
          <w:szCs w:val="20"/>
          <w:color w:val="auto"/>
        </w:rPr>
      </w:pPr>
      <w:r>
        <w:rPr>
          <w:rFonts w:ascii="Times New Roman" w:cs="Times New Roman" w:eastAsia="Times New Roman" w:hAnsi="Times New Roman"/>
          <w:sz w:val="21"/>
          <w:szCs w:val="21"/>
          <w:color w:val="auto"/>
        </w:rPr>
        <w:t>The SPV hereby authorizes the Agent to file financing statements naming the SPV as debtor or seller and describing as the collateral covered thereby as “all of the debtor’s personal property or assets” or words to that effect, notwithstanding that such wording may be broader in scope than the collateral described in this Agreement.</w:t>
      </w:r>
    </w:p>
    <w:p>
      <w:pPr>
        <w:spacing w:after="0" w:line="169" w:lineRule="exact"/>
        <w:rPr>
          <w:sz w:val="20"/>
          <w:szCs w:val="20"/>
          <w:color w:val="auto"/>
        </w:rPr>
      </w:pPr>
    </w:p>
    <w:p>
      <w:pPr>
        <w:jc w:val="both"/>
        <w:ind w:left="1300" w:firstLine="652"/>
        <w:spacing w:after="0" w:line="252" w:lineRule="auto"/>
        <w:tabs>
          <w:tab w:leader="none" w:pos="259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hereby grants to the Agent (on behalf of the Investors) a security interest in the Accounts as additional collateral to secure the payment and performance of the SPV’s obligations to the Agent (on behalf of the Investors) hereunder and under the other Transaction Documents or as may be determined in connection therewith by applicable Law.</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81" w:lineRule="auto"/>
        <w:tabs>
          <w:tab w:leader="none" w:pos="25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hereto further expressly acknowledges and agrees that the Commitments of the Committed Investors hereunder, regardless of the intended true sale nature of the overall transaction, are financial accommodations (within the meaning of Section 365(c)(2) of the Bankruptcy Code) to or for the benefit of SPV.</w:t>
      </w:r>
    </w:p>
    <w:p>
      <w:pPr>
        <w:spacing w:after="0" w:line="1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Subject to the terms and conditions hereof, including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in consideration for the sale, assignment and transfer of the Affected Assets by the SPV to the Agent (on behalf of the Investors) hereunder:</w:t>
      </w:r>
    </w:p>
    <w:p>
      <w:pPr>
        <w:spacing w:after="0" w:line="2" w:lineRule="exact"/>
        <w:rPr>
          <w:sz w:val="20"/>
          <w:szCs w:val="20"/>
          <w:color w:val="auto"/>
        </w:rPr>
      </w:pPr>
    </w:p>
    <w:p>
      <w:pPr>
        <w:jc w:val="both"/>
        <w:ind w:firstLine="1304"/>
        <w:spacing w:after="0" w:line="246"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On the Closing Date, and thereafter from time to time prior to the Termination Date, on request of the SPV in 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each Managing Agent (on behalf of the applicable Investors as determined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pay to the Agent, and the Agent shall pay to the SPV, the applicable Investor Group Percentage of an amount equal in each instance to the lesser of (i) the amount requested by the SPV under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and (ii) the largest amount that will not cause (A) the Net Investment to exceed the Maximum Net Investment and (B) the sum of the Net Investment and Required Reserves to exceed the Net Pool Balance. Each such payment is herein called an “</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Notwithstanding anything to the contrary in this Agreement, each Investor Group agrees to make the initial Investment on the Closing Date in accordance with the funds flow memorandum attached as Schedule 1.01(d) to the Disclosure Letter and agrees that, after giving effect to the making of such Investment in accordance with such funds flow memorandum, each Investor Group shall hold its Investor Group Percentage of the Net Investment.</w:t>
      </w:r>
    </w:p>
    <w:p>
      <w:pPr>
        <w:spacing w:after="0" w:line="19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Reinvestments</w:t>
      </w:r>
      <w:r>
        <w:rPr>
          <w:rFonts w:ascii="Times New Roman" w:cs="Times New Roman" w:eastAsia="Times New Roman" w:hAnsi="Times New Roman"/>
          <w:sz w:val="22"/>
          <w:szCs w:val="22"/>
          <w:color w:val="auto"/>
        </w:rPr>
        <w:t xml:space="preserve">. On each Business Day during the Reinvestment Period, the Servicer, on behalf of the Agent (on behalf of the Managing Agents and the Investors), shall pay to the SPV, out of Collections, the amount available for Reinvestment in accordance with </w:t>
      </w:r>
      <w:r>
        <w:rPr>
          <w:rFonts w:ascii="Times New Roman" w:cs="Times New Roman" w:eastAsia="Times New Roman" w:hAnsi="Times New Roman"/>
          <w:sz w:val="22"/>
          <w:szCs w:val="22"/>
          <w:u w:val="single" w:color="auto"/>
          <w:color w:val="auto"/>
        </w:rPr>
        <w:t>Section 2.12(a)(iii)</w:t>
      </w:r>
      <w:r>
        <w:rPr>
          <w:rFonts w:ascii="Times New Roman" w:cs="Times New Roman" w:eastAsia="Times New Roman" w:hAnsi="Times New Roman"/>
          <w:sz w:val="22"/>
          <w:szCs w:val="22"/>
          <w:color w:val="auto"/>
        </w:rPr>
        <w:t>. Each such payment is hereinafter called a “</w:t>
      </w:r>
      <w:r>
        <w:rPr>
          <w:rFonts w:ascii="Times New Roman" w:cs="Times New Roman" w:eastAsia="Times New Roman" w:hAnsi="Times New Roman"/>
          <w:sz w:val="22"/>
          <w:szCs w:val="22"/>
          <w:u w:val="single" w:color="auto"/>
          <w:color w:val="auto"/>
        </w:rPr>
        <w:t>Reinvestment</w:t>
      </w:r>
      <w:r>
        <w:rPr>
          <w:rFonts w:ascii="Times New Roman" w:cs="Times New Roman" w:eastAsia="Times New Roman" w:hAnsi="Times New Roman"/>
          <w:sz w:val="22"/>
          <w:szCs w:val="22"/>
          <w:color w:val="auto"/>
        </w:rPr>
        <w:t>”. All Reinvestments with respect to the applicable Investor Group Percentage of the Asset Interest shall be made ratably on behalf of the Investors in the relevant Investor Group in accordance with the respective outstanding portions of the Net Investment funded by them.</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Purchase Price</w:t>
      </w:r>
      <w:r>
        <w:rPr>
          <w:rFonts w:ascii="Times New Roman" w:cs="Times New Roman" w:eastAsia="Times New Roman" w:hAnsi="Times New Roman"/>
          <w:sz w:val="22"/>
          <w:szCs w:val="22"/>
          <w:color w:val="auto"/>
        </w:rPr>
        <w:t>. On each Business Day on and after the Final Payout Date, the Servicer, on behalf of the Agent, shall pay to the SPV an amount equal to the Collections of Receivables received by the SPV less the accrued and unpaid Servicing Fee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xml:space="preserve">the SPV (or the Servicer on its behalf) shall apply such Collections in the manner described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0"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SPV Payments Limited to Collections</w:t>
      </w:r>
      <w:r>
        <w:rPr>
          <w:rFonts w:ascii="Times New Roman" w:cs="Times New Roman" w:eastAsia="Times New Roman" w:hAnsi="Times New Roman"/>
          <w:sz w:val="22"/>
          <w:szCs w:val="22"/>
          <w:color w:val="auto"/>
        </w:rPr>
        <w:t xml:space="preserve">. Notwithstanding any provision contained in this Agreement to the contrary, no Managing Agent shall, nor shall be obligated (whether on behalf of the applicable Uncommitted Investor or the Committed Investors in such Managing Agent’s Investor Group) to, pay any amount to the SPV as the purchase price of Receivables pursuant to </w:t>
      </w:r>
      <w:r>
        <w:rPr>
          <w:rFonts w:ascii="Times New Roman" w:cs="Times New Roman" w:eastAsia="Times New Roman" w:hAnsi="Times New Roman"/>
          <w:sz w:val="22"/>
          <w:szCs w:val="22"/>
          <w:u w:val="single" w:color="auto"/>
          <w:color w:val="auto"/>
        </w:rPr>
        <w:t>subsections (b)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except to the extent of Collections on Receivables available for distribution to the SPV in accordance with this Agreement (but without otherwise limiting any obligations under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Any amount that any Managing Agent (whether on behalf of the Uncommitted Investors or the Committed Investors in such Managing Agent’s Investor Group) does not pay pursuant to the preceding sentence shall not constitute a claim (as defined in § 101 of the Bankruptcy Code) against or corporate obligation of such Managing Agent for any such insufficiency unless and until such amount becomes available for distribution to the SPV under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2.3</w:t>
      </w:r>
      <w:r>
        <w:rPr>
          <w:sz w:val="20"/>
          <w:szCs w:val="20"/>
          <w:color w:val="auto"/>
        </w:rPr>
        <w:tab/>
      </w:r>
      <w:r>
        <w:rPr>
          <w:rFonts w:ascii="Times New Roman" w:cs="Times New Roman" w:eastAsia="Times New Roman" w:hAnsi="Times New Roman"/>
          <w:sz w:val="21"/>
          <w:szCs w:val="21"/>
          <w:u w:val="single" w:color="auto"/>
          <w:color w:val="auto"/>
        </w:rPr>
        <w:t>Investment Procedures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SPV shall request an Investment hereunder, by request to the Agent (which shall promptly provide a copy to each Managing Agent) given by facsimile, e-mail or, subject to the proviso below, pursuant to PINACLE in the form of an Investment Request;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at any time when PNC (or an Affiliate thereof) is the Agent and the SPV has entered into a PINACLE Agreement, then any request for an Investment made by the SPV using PINACLE shall constitute an Investment Request.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Each Investment Request (1) shall be made by the SPV no later than (x) in the case of an Investment Request made pursuant to PINACLE, 12:00 p.m. Eastern Time on the proposed date of such Investment, or (y) in the case of any other Investment Request, at least one (1) Business Day prior to the proposed date of such Investment (including the initial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Investment Request made after such applicable time shall be deemed to have been made on the following Business Day, and (2) each such Investment Request shall specify (i) the desired amount of such Investment (which shall be at least $1,000,000 in the aggregate for all Investor Groups or an integral aggregate multiple of $100,000 in excess thereof per Investor Group or, to the extent that the then available unused portion of the Maximum Net Investment is less than such amount, such lesser amount equal to such available unused portion of the Maximum Net Investment), and (ii) the desired date of such Investment (the “</w:t>
      </w:r>
      <w:r>
        <w:rPr>
          <w:rFonts w:ascii="Times New Roman" w:cs="Times New Roman" w:eastAsia="Times New Roman" w:hAnsi="Times New Roman"/>
          <w:sz w:val="22"/>
          <w:szCs w:val="22"/>
          <w:u w:val="single" w:color="auto"/>
          <w:color w:val="auto"/>
        </w:rPr>
        <w:t>Investment Date</w:t>
      </w:r>
      <w:r>
        <w:rPr>
          <w:rFonts w:ascii="Times New Roman" w:cs="Times New Roman" w:eastAsia="Times New Roman" w:hAnsi="Times New Roman"/>
          <w:sz w:val="22"/>
          <w:szCs w:val="22"/>
          <w:color w:val="auto"/>
        </w:rPr>
        <w:t>”) which shall be a Business Day.</w:t>
      </w:r>
    </w:p>
    <w:p>
      <w:pPr>
        <w:spacing w:after="0" w:line="180" w:lineRule="exact"/>
        <w:rPr>
          <w:sz w:val="20"/>
          <w:szCs w:val="20"/>
          <w:color w:val="auto"/>
        </w:rPr>
      </w:pPr>
    </w:p>
    <w:p>
      <w:pPr>
        <w:ind w:left="1940" w:hanging="636"/>
        <w:spacing w:after="0"/>
        <w:tabs>
          <w:tab w:leader="none" w:pos="1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Conduit Investor Acceptance or Rejection; Investment Request Irrevocable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8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Managing Agent will promptly notify the Conduit Investors in its Investor Group and their respective Administrators of the Managing Agent’s receipt of any Investment Request. If the Investment Request is received prior to the Conduit Investment Termination Date, each Conduit Investor shall instruct its Administrator to cause its Managing Agent to accept or reject such Investment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83" w:name="page84"/>
    <w:bookmarkEnd w:id="83"/>
    <w:p>
      <w:pPr>
        <w:jc w:val="both"/>
        <w:ind w:left="1080"/>
        <w:spacing w:after="0" w:line="256" w:lineRule="auto"/>
        <w:rPr>
          <w:sz w:val="20"/>
          <w:szCs w:val="20"/>
          <w:color w:val="auto"/>
        </w:rPr>
      </w:pPr>
      <w:r>
        <w:rPr>
          <w:rFonts w:ascii="Times New Roman" w:cs="Times New Roman" w:eastAsia="Times New Roman" w:hAnsi="Times New Roman"/>
          <w:sz w:val="22"/>
          <w:szCs w:val="22"/>
          <w:color w:val="auto"/>
        </w:rPr>
        <w:t>Request by notice given to the SPV, its Managing Agent and the Agent by telephone or facsimile by no later than the close of its business on the Business Day following its receipt of any such Investment Request. Any rejection by a Conduit Investor shall not relieve or terminate the obligations of any Committed Investor hereunder to fund any Investment.</w:t>
      </w:r>
    </w:p>
    <w:p>
      <w:pPr>
        <w:spacing w:after="0" w:line="176" w:lineRule="exact"/>
        <w:rPr>
          <w:sz w:val="20"/>
          <w:szCs w:val="20"/>
          <w:color w:val="auto"/>
        </w:rPr>
      </w:pPr>
    </w:p>
    <w:p>
      <w:pPr>
        <w:jc w:val="both"/>
        <w:ind w:left="1080" w:firstLine="652"/>
        <w:spacing w:after="0" w:line="262" w:lineRule="auto"/>
        <w:tabs>
          <w:tab w:leader="none" w:pos="237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Investment Request shall be irrevocable and binding on the SPV, and the SPV shall indemnify each Investor against any loss or expense incurred by such Investor, either directly or indirectly (including, in the case of any Conduit Investor, through a Program Support Agreement) as a result of any failure by the SPV to complete such Investment, including any loss (including loss of profit) or expense incurred by the Agent, any Managing Agent or any Investor, either directly or indirectly (including, in the case of any Conduit Investor, pursuant to a Program Support Agreement) by reason of the liquidation or reemployment of funds acquired by such Investor (or the applicable Program Support Provider(s)) (including funds obtained by issuing commercial paper or promissory notes or obtaining deposits or loans from third parties) in order to fund such Investment.</w:t>
      </w:r>
    </w:p>
    <w:p>
      <w:pPr>
        <w:spacing w:after="0" w:line="172" w:lineRule="exact"/>
        <w:rPr>
          <w:rFonts w:ascii="Times New Roman" w:cs="Times New Roman" w:eastAsia="Times New Roman" w:hAnsi="Times New Roman"/>
          <w:sz w:val="21"/>
          <w:szCs w:val="21"/>
          <w:color w:val="auto"/>
        </w:rPr>
      </w:pPr>
    </w:p>
    <w:p>
      <w:pPr>
        <w:jc w:val="both"/>
        <w:ind w:left="-220" w:firstLine="1304"/>
        <w:spacing w:after="0" w:line="247" w:lineRule="auto"/>
        <w:tabs>
          <w:tab w:leader="none" w:pos="172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Committed Investor’s Commitment</w:t>
      </w:r>
      <w:r>
        <w:rPr>
          <w:rFonts w:ascii="Times New Roman" w:cs="Times New Roman" w:eastAsia="Times New Roman" w:hAnsi="Times New Roman"/>
          <w:sz w:val="22"/>
          <w:szCs w:val="22"/>
          <w:color w:val="auto"/>
        </w:rPr>
        <w:t xml:space="preserve">. Subject to the satisfaction of the conditions precedent set forth in </w:t>
      </w:r>
      <w:r>
        <w:rPr>
          <w:rFonts w:ascii="Times New Roman" w:cs="Times New Roman" w:eastAsia="Times New Roman" w:hAnsi="Times New Roman"/>
          <w:sz w:val="22"/>
          <w:szCs w:val="22"/>
          <w:u w:val="single" w:color="auto"/>
          <w:color w:val="auto"/>
        </w:rPr>
        <w:t>Sections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and the other terms and conditions hereof, each Committed Investor hereby agrees to make Investments during the period from and including the Closing Date to but not including the Commitment Termination Date in an aggregate amount up to but not exceeding the Commitment of such Committed Investor as in effect from time to time.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w:t>
      </w:r>
      <w:r>
        <w:rPr>
          <w:rFonts w:ascii="Times New Roman" w:cs="Times New Roman" w:eastAsia="Times New Roman" w:hAnsi="Times New Roman"/>
          <w:sz w:val="22"/>
          <w:szCs w:val="22"/>
          <w:color w:val="auto"/>
        </w:rPr>
        <w:t xml:space="preserve"> concerning Reinvestments, at no time will any Uncommitted Investor have any obligation to fund an Investment or Reinvestment. At all times on and after the Conduit Investment Termination Date with respect to a Conduit Investor, all Investments and Reinvestments shall be made by the Managing Agent on behalf of the Committed Investors in such Investor Group. At any time when any Uncommitted Investor has rejected a request to fund its Investor Group Percentage of an Investment, its Managing Agent shall so notify the Related Committed Investors and such Related Committed Investors shall fund their respective share of such Investment,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in accordance with their respective Pro Rata Shares. Notwithstanding anything contained in this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or elsewhere in this Agreement to the contrary, no Committed Investor shall be obligated to provide its Managing Agent or the SPV with funds in connection with an Investment in an amount that would result in the portion of the Net Investment then funded by it exceeding its Commitment then in effect (inclusive of any amounts funded by such Committed Investor under the Program Support Agreement to which it is a party). The obligation of the Committed Investors in each Investor Group to remit the applicable Investor Group Percentage of any Investment shall be several from that of the other Committed Investors in the other Investor Groups and within the each Investor Group each Committed Investor’s obligation to fund its portion of the Investments shall be several from the obligations of the other Investors. The failure of any Committed Investor to so make such amount available to its Managing Agent shall not relieve any other Committed Investor of its obligation hereunder.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020"/>
          </w:cols>
          <w:pgMar w:left="540" w:top="1422" w:right="339" w:bottom="1440" w:gutter="0" w:footer="0" w:header="0"/>
        </w:sectPr>
      </w:pPr>
    </w:p>
    <w:bookmarkStart w:id="84" w:name="page85"/>
    <w:bookmarkEnd w:id="84"/>
    <w:p>
      <w:pPr>
        <w:jc w:val="both"/>
        <w:ind w:left="-220" w:firstLine="1304"/>
        <w:spacing w:after="0" w:line="251" w:lineRule="auto"/>
        <w:tabs>
          <w:tab w:leader="none" w:pos="171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Investment</w:t>
      </w:r>
      <w:r>
        <w:rPr>
          <w:rFonts w:ascii="Times New Roman" w:cs="Times New Roman" w:eastAsia="Times New Roman" w:hAnsi="Times New Roman"/>
          <w:sz w:val="22"/>
          <w:szCs w:val="22"/>
          <w:color w:val="auto"/>
        </w:rPr>
        <w:t xml:space="preserve">. On any Investment Date, each Uncommitted Investor or each Committed Investor, as the case may be, shall remit its share of the aggregate amount of such Investment (determined pursuant to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to the account of the Managing Agent specified therefor from time to time by the Managing Agent by notice to such Persons by wire transfer of same day funds. Following the Managing Agent’s receipt of funds from the Investors as aforesaid, the Managing Agent shall remit such funds received to the Agent, and the Agent shall remit such funds to the SPV’s account at the location indicated in the Notice Letter Agreement, by wire transfer of same day funds.</w:t>
      </w:r>
    </w:p>
    <w:p>
      <w:pPr>
        <w:spacing w:after="0" w:line="181" w:lineRule="exact"/>
        <w:rPr>
          <w:rFonts w:ascii="Times New Roman" w:cs="Times New Roman" w:eastAsia="Times New Roman" w:hAnsi="Times New Roman"/>
          <w:sz w:val="22"/>
          <w:szCs w:val="22"/>
          <w:color w:val="auto"/>
        </w:rPr>
      </w:pPr>
    </w:p>
    <w:p>
      <w:pPr>
        <w:jc w:val="both"/>
        <w:ind w:left="-220" w:firstLine="1304"/>
        <w:spacing w:after="0" w:line="260" w:lineRule="auto"/>
        <w:tabs>
          <w:tab w:leader="none" w:pos="172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Managing Agent May Advance Funds</w:t>
      </w:r>
      <w:r>
        <w:rPr>
          <w:rFonts w:ascii="Times New Roman" w:cs="Times New Roman" w:eastAsia="Times New Roman" w:hAnsi="Times New Roman"/>
          <w:sz w:val="21"/>
          <w:szCs w:val="21"/>
          <w:color w:val="auto"/>
        </w:rPr>
        <w:t xml:space="preserve">. Unless a Managing Agent shall have received notice from any Investor in its Investor Group that such Person will not make its share of any Investment available on the applicable Investment Date therefor, a Managing Agent may (but shall have no obligation to) make any such Investor’s share of any such Investment available to the Agent in anticipation of the receipt by the Managing Agent of such amount from the applicable Investor. Subject to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color w:val="auto"/>
        </w:rPr>
        <w:t xml:space="preserve">, to the extent any such Investor fails to remit any such amount to its Managing Agent after any such advance by such Managing Agent on such Investment Date, such Investor, and if such Investor does not, upon the request of the applicable Managing Agent, the SPV, shall be required to pay such amount to the Agent for payment to such Managing Agent for its own account, together with interest thereon at a </w:t>
      </w:r>
      <w:r>
        <w:rPr>
          <w:rFonts w:ascii="Times New Roman" w:cs="Times New Roman" w:eastAsia="Times New Roman" w:hAnsi="Times New Roman"/>
          <w:sz w:val="21"/>
          <w:szCs w:val="21"/>
          <w:u w:val="single" w:color="auto"/>
          <w:color w:val="auto"/>
        </w:rPr>
        <w:t>per annum</w:t>
      </w:r>
      <w:r>
        <w:rPr>
          <w:rFonts w:ascii="Times New Roman" w:cs="Times New Roman" w:eastAsia="Times New Roman" w:hAnsi="Times New Roman"/>
          <w:sz w:val="21"/>
          <w:szCs w:val="21"/>
          <w:color w:val="auto"/>
        </w:rPr>
        <w:t xml:space="preserve"> rate equal to the Federal Funds Rate, in the case of such Investor, or the Base Rate, in the case of the SPV, to the Agent for payment to such Managing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Conduit Investor shall have no obligation to pay such interest amounts except to the extent that it shall have sufficient funds to pay the face amount of its Commercial Paper in full). Until such amount shall be repaid, such amount shall be deemed to be Net Investment paid by the applicable Managing Agent and such Managing Agent shall be deemed to be the owner of an interest in the Asset Interest hereunder to the extent of such Investment. Upon the payment of such amount to the Agent for payment to the applicable Managing Agent (i) by the SPV, the amount of the aggregate Net Investment shall be reduced by such amount or (ii) by such Investor, such payment shall constitute such Person’s payment of its share of the applicable Investment.</w:t>
      </w:r>
    </w:p>
    <w:p>
      <w:pPr>
        <w:spacing w:after="0" w:line="180" w:lineRule="exact"/>
        <w:rPr>
          <w:sz w:val="20"/>
          <w:szCs w:val="20"/>
          <w:color w:val="auto"/>
        </w:rPr>
      </w:pPr>
    </w:p>
    <w:p>
      <w:pPr>
        <w:ind w:left="44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Determination of Yield and Rate Periods.</w:t>
      </w:r>
    </w:p>
    <w:p>
      <w:pPr>
        <w:spacing w:after="0" w:line="220" w:lineRule="exact"/>
        <w:rPr>
          <w:sz w:val="20"/>
          <w:szCs w:val="20"/>
          <w:color w:val="auto"/>
        </w:rPr>
      </w:pPr>
    </w:p>
    <w:p>
      <w:pPr>
        <w:jc w:val="both"/>
        <w:ind w:left="-220" w:firstLine="1304"/>
        <w:spacing w:after="0" w:line="251" w:lineRule="auto"/>
        <w:tabs>
          <w:tab w:leader="none" w:pos="172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for purposes of determining the Rate Periods applicable to the different portions of the Net Investment funded by its Investor Group and of calculating Yield with respect thereto, each Managing Agent shall allocate the Net Investment allocable to its Investor Group to one or more tranches (each, a “</w:t>
      </w:r>
      <w:r>
        <w:rPr>
          <w:rFonts w:ascii="Times New Roman" w:cs="Times New Roman" w:eastAsia="Times New Roman" w:hAnsi="Times New Roman"/>
          <w:sz w:val="22"/>
          <w:szCs w:val="22"/>
          <w:u w:val="single" w:color="auto"/>
          <w:color w:val="auto"/>
        </w:rPr>
        <w:t>Portion of Investment</w:t>
      </w:r>
      <w:r>
        <w:rPr>
          <w:rFonts w:ascii="Times New Roman" w:cs="Times New Roman" w:eastAsia="Times New Roman" w:hAnsi="Times New Roman"/>
          <w:sz w:val="22"/>
          <w:szCs w:val="22"/>
          <w:color w:val="auto"/>
        </w:rPr>
        <w:t>”) that constitute either a CP Portion of Investment or Alternate Rate Portion of Investment, as applicable. At any time, each CP Portion of Investment shall have only one Rate Period and one Rate Type. Each Alternate Rate Portion of Investment shall have only one Rate Period and not more than two Rate Types.</w:t>
      </w:r>
    </w:p>
    <w:p>
      <w:pPr>
        <w:spacing w:after="0" w:line="181"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Yield Rate Protection; Illegality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80" w:firstLine="652"/>
        <w:spacing w:after="0" w:line="284" w:lineRule="auto"/>
        <w:tabs>
          <w:tab w:leader="none" w:pos="236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Agent is unable to obtain on a timely basis the information necessary to determine the applicable Yield Rate for any proposed Rate Period, then: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020"/>
          </w:cols>
          <w:pgMar w:left="540" w:top="1422" w:right="339" w:bottom="1440" w:gutter="0" w:footer="0" w:header="0"/>
        </w:sectPr>
      </w:pPr>
    </w:p>
    <w:bookmarkStart w:id="85" w:name="page86"/>
    <w:bookmarkEnd w:id="85"/>
    <w:p>
      <w:pPr>
        <w:ind w:left="1740" w:right="20" w:firstLine="640"/>
        <w:spacing w:after="0" w:line="271" w:lineRule="auto"/>
        <w:tabs>
          <w:tab w:leader="none" w:pos="3025"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shall forthwith notify the Managing Agents and the SPV that the Yield Rate cannot be determined for such Rate Period, and</w:t>
      </w:r>
    </w:p>
    <w:p>
      <w:pPr>
        <w:spacing w:after="0" w:line="157" w:lineRule="exact"/>
        <w:rPr>
          <w:rFonts w:ascii="Times New Roman" w:cs="Times New Roman" w:eastAsia="Times New Roman" w:hAnsi="Times New Roman"/>
          <w:sz w:val="22"/>
          <w:szCs w:val="22"/>
          <w:color w:val="auto"/>
        </w:rPr>
      </w:pPr>
    </w:p>
    <w:p>
      <w:pPr>
        <w:jc w:val="both"/>
        <w:ind w:left="1740" w:firstLine="640"/>
        <w:spacing w:after="0" w:line="253" w:lineRule="auto"/>
        <w:tabs>
          <w:tab w:leader="none" w:pos="3027"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such circumstances exist, none of the Conduit Investors, such Committed Investors or the Managing Agents shall allocate any Portion of Investment with respect to Investments made during such period or reallocate any Portion of Investment allocated to any then existing Rate Period ending during such period, to a Rate Period with respect to which Yield is calculated by reference to the applicable Yield Rate.</w:t>
      </w:r>
    </w:p>
    <w:p>
      <w:pPr>
        <w:spacing w:after="0" w:line="178" w:lineRule="exact"/>
        <w:rPr>
          <w:rFonts w:ascii="Times New Roman" w:cs="Times New Roman" w:eastAsia="Times New Roman" w:hAnsi="Times New Roman"/>
          <w:sz w:val="22"/>
          <w:szCs w:val="22"/>
          <w:color w:val="auto"/>
        </w:rPr>
      </w:pPr>
    </w:p>
    <w:p>
      <w:pPr>
        <w:jc w:val="both"/>
        <w:ind w:left="1080" w:firstLine="652"/>
        <w:spacing w:after="0" w:line="250" w:lineRule="auto"/>
        <w:tabs>
          <w:tab w:leader="none" w:pos="237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 respect to any outstanding Rate Period, a Conduit Investor or any Committed Investor on behalf of which a Managing Agent holds any Portion of Investment notifies such Managing Agent that the applicable Yield Rate applicable to such Portion of Investment will not adequately reflect the cost to the Person of funding or maintaining such Portion of Investment for such Rate Period, then (A) such Managing Agent shall forthwith so notify the SPV and (B) upon such notice and thereafter while such circumstances exist none of such Managing Agent, such Conduit Investor or such Committed Investor, as applicable, shall allocate any other Portion of Investment with respect to Investments made during such period or reallocate any Portion of Investment allocated to any Rate Period ending during such period, to a Rate Period with respect to which Yield is calculated by reference to the Yield Rate.</w:t>
      </w:r>
    </w:p>
    <w:p>
      <w:pPr>
        <w:spacing w:after="0" w:line="179" w:lineRule="exact"/>
        <w:rPr>
          <w:rFonts w:ascii="Times New Roman" w:cs="Times New Roman" w:eastAsia="Times New Roman" w:hAnsi="Times New Roman"/>
          <w:sz w:val="22"/>
          <w:szCs w:val="22"/>
          <w:color w:val="auto"/>
        </w:rPr>
      </w:pPr>
    </w:p>
    <w:p>
      <w:pPr>
        <w:jc w:val="both"/>
        <w:ind w:left="1080" w:firstLine="652"/>
        <w:spacing w:after="0" w:line="248" w:lineRule="auto"/>
        <w:tabs>
          <w:tab w:leader="none" w:pos="237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if a Conduit Investor or any of the Committed Investors, as applicable, shall notify their respective Managing Agent that such Person has determined (or has been notified by any Program Support Provider) that the introduction after the Closing Date of or any change in or in the interpretation of any Law makes it unlawful (either for such Conduit Investor, such Committed Investor or such Program Support Provider, as applicable), or any central bank or other Official Body asserts that it is unlawful for such Conduit Investor, such Committed Investor or such Program Support Provider, as applicable, to fund the purchases or maintenance of any Portion of Investment accruing Yield calculated by reference to the applicable Yield Rate, then (A) as of the effective date of such notice from such Person to its Managing Agent, the obligation or ability of such Conduit Investor or such Committed Investor, as applicable, to fund the making or maintenance of any Portion of Investment accruing Yield calculated by reference to the applicable Yield Rate shall be suspended until such Person notifies its Managing Agent that the circumstances causing such suspension no longer exist and (B) each Portion of Investment made or maintained by such Person shall either (1) if such Person may lawfully continue to maintain such Portion of Investment accruing Yield calculated by reference to the applicable Yield Rate until the last day of the applicable Rate Period, be reallocated on the last day of</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020"/>
          </w:cols>
          <w:pgMar w:left="540" w:top="1422" w:right="339" w:bottom="1440" w:gutter="0" w:footer="0" w:header="0"/>
        </w:sectPr>
      </w:pPr>
    </w:p>
    <w:bookmarkStart w:id="86" w:name="page87"/>
    <w:bookmarkEnd w:id="86"/>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such Rate Period to another Rate Period and shall accrue Yield calculated by reference to the Base Rate (determined without regard to clause (c) of the definition thereof) or (2) if such Person shall determine that it may not lawfully continue to maintain such Portion of Investment accruing Yield calculated by reference to the applicable Yield Rate until the end of the applicable Rate Period, such Person’s share of such Portion of Investment allocated to such Rate Period shall be deemed to accrue Yield at the Base Rate from the effective date of such notice until the end of such Rate Period.</w:t>
      </w:r>
    </w:p>
    <w:p>
      <w:pPr>
        <w:spacing w:after="0" w:line="181" w:lineRule="exact"/>
        <w:rPr>
          <w:sz w:val="20"/>
          <w:szCs w:val="20"/>
          <w:color w:val="auto"/>
        </w:rPr>
      </w:pPr>
    </w:p>
    <w:p>
      <w:pPr>
        <w:ind w:left="1940" w:hanging="636"/>
        <w:spacing w:after="0"/>
        <w:tabs>
          <w:tab w:leader="none" w:pos="1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Term SOFR; Rate Quotations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1" w:lineRule="auto"/>
        <w:tabs>
          <w:tab w:leader="none" w:pos="2584"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Termination Event has occurred and is continuing, the SPV may, by written notice to the Agent, elect for all or any portion of the Alternate Rate Portion of Investment to accrue interest by reference to Term SOFR (rather than Daily 1M SOFR) during any Rate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election shall be made for less (or more) than a full calendar-month Rate Period. Any such notice must specify the amount of the portion of the Alternate Rate Portion of Investment subject of such election and must be delivered not later than two (2) Business Days prior to the first day of the affected Rate Period. Any such portion of the Alternate Rate Portion of Investment that is subject to such an election shall be apportioned among all Investor’s ratable share of the Alternate Rate Portion of Investment ratably based on the aggregate outstanding Alternate Rate Portion of Investment of each Investor at such time. Notwithstanding the foregoing, (x) the SPV shall not make such an election if, as a result thereof, more than two Rate Types would exist for the Alternate Rate Portion of Investment would exist and (y) each portion of the Alternate Rate Portion of Investment accruing interest by reference to Term SOFR shall not be less than $1,000,000 and shall be an integral multiple of $100,000. For the avoidance of doubt, in the event of any conflict between the SPV’s election pursuant to this clause (i) and rate of yield applied pursuant to the definition of “Yield Rate,” the definition of “Yield Rate” shall control.</w:t>
      </w:r>
    </w:p>
    <w:p>
      <w:pPr>
        <w:spacing w:after="0" w:line="170" w:lineRule="exact"/>
        <w:rPr>
          <w:rFonts w:ascii="Times New Roman" w:cs="Times New Roman" w:eastAsia="Times New Roman" w:hAnsi="Times New Roman"/>
          <w:sz w:val="21"/>
          <w:szCs w:val="21"/>
          <w:color w:val="auto"/>
        </w:rPr>
      </w:pPr>
    </w:p>
    <w:p>
      <w:pPr>
        <w:jc w:val="both"/>
        <w:ind w:left="1300" w:firstLine="652"/>
        <w:spacing w:after="0" w:line="256" w:lineRule="auto"/>
        <w:tabs>
          <w:tab w:leader="none" w:pos="259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may call the Agent on or before the date on which an Investment Request is to be delivered to receive an indication of the rates then in effect, but it is acknowledged that such projection shall not be binding on the Agent or the Investors nor affect the rate of interest which thereafter is actually in effect when the election is made.</w:t>
      </w:r>
    </w:p>
    <w:p>
      <w:pPr>
        <w:spacing w:after="0" w:line="17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Yield, Fees and Other Costs and Expenses</w:t>
      </w:r>
      <w:r>
        <w:rPr>
          <w:rFonts w:ascii="Times New Roman" w:cs="Times New Roman" w:eastAsia="Times New Roman" w:hAnsi="Times New Roman"/>
          <w:sz w:val="22"/>
          <w:szCs w:val="22"/>
          <w:color w:val="auto"/>
        </w:rPr>
        <w:t>. Notwithstanding any limitation on recourse herein, the SPV shall pay, as and when due in accordance with this Agreement:</w:t>
      </w:r>
    </w:p>
    <w:p>
      <w:pPr>
        <w:spacing w:after="0" w:line="200" w:lineRule="exact"/>
        <w:rPr>
          <w:sz w:val="20"/>
          <w:szCs w:val="20"/>
          <w:color w:val="auto"/>
        </w:rPr>
      </w:pPr>
    </w:p>
    <w:p>
      <w:pPr>
        <w:spacing w:after="0" w:line="201" w:lineRule="exact"/>
        <w:rPr>
          <w:sz w:val="20"/>
          <w:szCs w:val="20"/>
          <w:color w:val="auto"/>
        </w:rPr>
      </w:pPr>
    </w:p>
    <w:p>
      <w:pPr>
        <w:jc w:val="both"/>
        <w:ind w:firstLine="1304"/>
        <w:spacing w:after="0" w:line="257" w:lineRule="auto"/>
        <w:tabs>
          <w:tab w:leader="none" w:pos="19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Agent, and to the Agent for the benefit of each Managing Agent, all fees hereunder and under each Fee Letter and under the Administrative Fee Letter, all amounts payable pursuant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if any, and the Servicing Fees, if required pursuant to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87" w:name="page88"/>
    <w:bookmarkEnd w:id="87"/>
    <w:p>
      <w:pPr>
        <w:jc w:val="both"/>
        <w:ind w:firstLine="1304"/>
        <w:spacing w:after="0" w:line="257" w:lineRule="auto"/>
        <w:tabs>
          <w:tab w:leader="none" w:pos="193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Settlement Date, to the extent not paid pursuant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for any reason, to the Agent, on behalf of the Conduit Investor or the Committed Investors, as applicable, an amount equal to the accrued and unpaid Yield for the related Rate Period.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Nothing in this Agreement shall limit in any way the obligations of the SPV to pay the amounts set forth in this </w:t>
      </w:r>
      <w:r>
        <w:rPr>
          <w:rFonts w:ascii="Times New Roman" w:cs="Times New Roman" w:eastAsia="Times New Roman" w:hAnsi="Times New Roman"/>
          <w:sz w:val="22"/>
          <w:szCs w:val="22"/>
          <w:u w:val="single" w:color="auto"/>
          <w:color w:val="auto"/>
        </w:rPr>
        <w:t>Section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Deemed Collections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Dilutions</w:t>
      </w:r>
      <w:r>
        <w:rPr>
          <w:rFonts w:ascii="Times New Roman" w:cs="Times New Roman" w:eastAsia="Times New Roman" w:hAnsi="Times New Roman"/>
          <w:sz w:val="22"/>
          <w:szCs w:val="22"/>
          <w:color w:val="auto"/>
        </w:rPr>
        <w:t xml:space="preserve">. If on any day the Unpaid Balance of an Eligible Receivable is reduced (but not cancelled) as a result of any Dilution, the SPV shall be deemed to have received on such day a Collection of such Receivable in the amount of such reduction. If on any day an Eligible Receivable is canceled as a result of any Dilution, the SPV shall be deemed to have received on such day a Collection of such Eligible Receivable in the amount of the Unpaid Balance (as determined immediately prior to such Dilution) of such Eligible Receivable. Any amount deemed to have been received under this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shall constitute a “</w:t>
      </w:r>
      <w:r>
        <w:rPr>
          <w:rFonts w:ascii="Times New Roman" w:cs="Times New Roman" w:eastAsia="Times New Roman" w:hAnsi="Times New Roman"/>
          <w:sz w:val="22"/>
          <w:szCs w:val="22"/>
          <w:u w:val="single" w:color="auto"/>
          <w:color w:val="auto"/>
        </w:rPr>
        <w:t>Deemed Collection</w:t>
      </w:r>
      <w:r>
        <w:rPr>
          <w:rFonts w:ascii="Times New Roman" w:cs="Times New Roman" w:eastAsia="Times New Roman" w:hAnsi="Times New Roman"/>
          <w:sz w:val="22"/>
          <w:szCs w:val="22"/>
          <w:color w:val="auto"/>
        </w:rPr>
        <w:t xml:space="preserve">”. Upon any such Deemed Collection, the SPV shall, on the second Business Day following its knowledge of such Dilution, pay to the Servicer an amount equal to such Deemed Collection and such amount shall be applied by the Servicer as a Collection in accordance with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ind w:left="1940" w:hanging="636"/>
        <w:spacing w:after="0"/>
        <w:tabs>
          <w:tab w:leader="none" w:pos="194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Breach of Representation or Warranty</w:t>
      </w:r>
      <w:r>
        <w:rPr>
          <w:rFonts w:ascii="Times New Roman" w:cs="Times New Roman" w:eastAsia="Times New Roman" w:hAnsi="Times New Roman"/>
          <w:sz w:val="21"/>
          <w:szCs w:val="21"/>
          <w:color w:val="auto"/>
        </w:rPr>
        <w:t xml:space="preserve">. If on any day any representation or warranty in </w:t>
      </w:r>
      <w:r>
        <w:rPr>
          <w:rFonts w:ascii="Times New Roman" w:cs="Times New Roman" w:eastAsia="Times New Roman" w:hAnsi="Times New Roman"/>
          <w:sz w:val="21"/>
          <w:szCs w:val="21"/>
          <w:u w:val="single" w:color="auto"/>
          <w:color w:val="auto"/>
        </w:rPr>
        <w:t>Sections 4.1(d)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w:t>
      </w:r>
    </w:p>
    <w:p>
      <w:pPr>
        <w:spacing w:after="0" w:line="40" w:lineRule="exact"/>
        <w:rPr>
          <w:rFonts w:ascii="Times New Roman" w:cs="Times New Roman" w:eastAsia="Times New Roman" w:hAnsi="Times New Roman"/>
          <w:sz w:val="21"/>
          <w:szCs w:val="21"/>
          <w:color w:val="auto"/>
        </w:rPr>
      </w:pPr>
    </w:p>
    <w:p>
      <w:pPr>
        <w:jc w:val="both"/>
        <w:ind w:firstLine="8"/>
        <w:spacing w:after="0" w:line="248" w:lineRule="auto"/>
        <w:tabs>
          <w:tab w:leader="none" w:pos="265" w:val="left"/>
        </w:tabs>
        <w:numPr>
          <w:ilvl w:val="0"/>
          <w:numId w:val="7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or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with respect to any Eligible Receivable (whether on or after the date of transfer thereof to the Agent, for the benefit of the Investors, as contemplated hereunder) is determined to have been incorrect at the time such representation or warranty was made or deemed made, the SPV shall be deemed to have received on such day a Collection of such Eligible Receivable equal to its Unpaid Balance. Any amount deemed to have been received under this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shall constitute a “</w:t>
      </w:r>
      <w:r>
        <w:rPr>
          <w:rFonts w:ascii="Times New Roman" w:cs="Times New Roman" w:eastAsia="Times New Roman" w:hAnsi="Times New Roman"/>
          <w:sz w:val="22"/>
          <w:szCs w:val="22"/>
          <w:u w:val="single" w:color="auto"/>
          <w:color w:val="auto"/>
        </w:rPr>
        <w:t>Deemed Collection</w:t>
      </w:r>
      <w:r>
        <w:rPr>
          <w:rFonts w:ascii="Times New Roman" w:cs="Times New Roman" w:eastAsia="Times New Roman" w:hAnsi="Times New Roman"/>
          <w:sz w:val="22"/>
          <w:szCs w:val="22"/>
          <w:color w:val="auto"/>
        </w:rPr>
        <w:t xml:space="preserve">”. Upon any such Deemed Collection, the SPV shall, on the second Business Day following its knowledge thereof, deposit into the Collection Account an amount equal to such Deemed Collection and such amount shall be applied by the Servicer as a Collection in accordance with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Payments and Computations, Etc.</w:t>
      </w:r>
      <w:r>
        <w:rPr>
          <w:rFonts w:ascii="Times New Roman" w:cs="Times New Roman" w:eastAsia="Times New Roman" w:hAnsi="Times New Roman"/>
          <w:sz w:val="22"/>
          <w:szCs w:val="22"/>
          <w:color w:val="auto"/>
        </w:rPr>
        <w:t xml:space="preserve"> All amounts to be paid or deposited by the SPV or the Servicer hereunder shall be paid or deposited in accordance with the terms hereof no later than 12:00 noon on the day when due in immediately available funds; if such amounts are payable to the Agent (whether on behalf of any Managing Agent, Investor or otherwise) they shall be paid or deposited in the account indicated under the heading “Payment Information”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until otherwise notified by the Agent. The Agent shall pay all amounts payable to each Managing Agent at the direction of such Managing Agent. The SPV shall, to the extent permitted by Law, pay to the Agent, or to the Agent for the benefit of the Investors, as applicable, upon demand, interest on all amounts not paid or deposited when due hereunder (subject to any applicable grace period) at the Default Rate. All computations of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fees hereunder shall be made on the basis of a year of 360 days for the actual number of days (including the first but excluding the last day) elapsed. Any computations made by the Agent of amounts payable by the SPV hereunder shall be binding upon the SPV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88" w:name="page89"/>
    <w:bookmarkEnd w:id="88"/>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 By no later than 4:00 p.m. on the second Business Day prior to each Settlement Date and, so long as a Trigger Event exists, on a weekly basis, within four (4) Business Days after a request from the Agent (each, a “</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the Servicer shall prepare and forward to the Agent and each Managing Agent a Servicer Report, certified by the Servicer.</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2.9 </w:t>
      </w:r>
      <w:r>
        <w:rPr>
          <w:rFonts w:ascii="Times New Roman" w:cs="Times New Roman" w:eastAsia="Times New Roman" w:hAnsi="Times New Roman"/>
          <w:sz w:val="21"/>
          <w:szCs w:val="21"/>
          <w:u w:val="single" w:color="auto"/>
          <w:color w:val="auto"/>
        </w:rPr>
        <w:t>Collection Account</w:t>
      </w:r>
      <w:r>
        <w:rPr>
          <w:rFonts w:ascii="Times New Roman" w:cs="Times New Roman" w:eastAsia="Times New Roman" w:hAnsi="Times New Roman"/>
          <w:sz w:val="21"/>
          <w:szCs w:val="21"/>
          <w:color w:val="auto"/>
        </w:rPr>
        <w:t>. The SPV shall establish in its name on or prior to the Closing Date and shall maintain a segregated account (the “</w:t>
      </w:r>
      <w:r>
        <w:rPr>
          <w:rFonts w:ascii="Times New Roman" w:cs="Times New Roman" w:eastAsia="Times New Roman" w:hAnsi="Times New Roman"/>
          <w:sz w:val="21"/>
          <w:szCs w:val="21"/>
          <w:u w:val="single" w:color="auto"/>
          <w:color w:val="auto"/>
        </w:rPr>
        <w:t>Collection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Agent, on behalf of the Secured Parties. The Agent shall have exclusive dominion and control over the Collection Account and all monies, instruments and other property from time to time in the Collection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Servicer and the SPV shall be permitted to withdraw amounts from the Collection Account so long as (x) no Potential Termination Event or Termination Event has occurred and is continuing and (y) such withdrawal is otherwise permitted hereunder. The SPV and the Servicer shall remit to the Collection Account on the dates specified in </w:t>
      </w:r>
      <w:r>
        <w:rPr>
          <w:rFonts w:ascii="Times New Roman" w:cs="Times New Roman" w:eastAsia="Times New Roman" w:hAnsi="Times New Roman"/>
          <w:sz w:val="21"/>
          <w:szCs w:val="21"/>
          <w:u w:val="single" w:color="auto"/>
          <w:color w:val="auto"/>
        </w:rPr>
        <w:t>Section 2.12(b)</w:t>
      </w:r>
      <w:r>
        <w:rPr>
          <w:rFonts w:ascii="Times New Roman" w:cs="Times New Roman" w:eastAsia="Times New Roman" w:hAnsi="Times New Roman"/>
          <w:sz w:val="21"/>
          <w:szCs w:val="21"/>
          <w:color w:val="auto"/>
        </w:rPr>
        <w:t xml:space="preserve"> all amounts due and owing thereunder. At all other times, any Collections received directly by the SPV, any of the Originators or the Servicer shall be sent promptly (but in any event within two (2) Business Days of receipt) to a Blocked Account. Funds on deposit in the Collection Account (other than investment earnings) shall be invested, prior to the occurrence and continuance of a Potential Termination Event or Termination Event, by the SPV or the Servicer (on behalf of the SPV) in Eligible Investments that will mature so that such funds will be available so as to permit amounts in the Collection Account to be paid and applied on the next Settlement Date and otherwise in accordance with the provisions of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funds shall not reduce the Net Investment or accrued Yield hereunder until so applied under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On each Settlement Date, all interest and earnings (net of losses and investment expenses) on funds on deposit in the Collection Account shall be applied as Collections. On the Final Payout Date, any and all funds remaining on deposit in the Collection Account shall be paid to the SPV.</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Sharing of Payments, Etc.</w:t>
      </w:r>
      <w:r>
        <w:rPr>
          <w:rFonts w:ascii="Times New Roman" w:cs="Times New Roman" w:eastAsia="Times New Roman" w:hAnsi="Times New Roman"/>
          <w:sz w:val="22"/>
          <w:szCs w:val="22"/>
          <w:color w:val="auto"/>
        </w:rPr>
        <w:t xml:space="preserve"> If any Investor (for purposes of this Section only, being a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xml:space="preserve">”) shall obtain any payment (whether voluntary, involuntary, through the exercise of any right of setoff, or otherwise) on account of the portion of the Asset Interest owned by it (other than pursuant to a Fee Letter, the Administrative Fee Letter or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other than as a result of the differences in the timing of the applications of Collections pursuant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other than a result of the different methods for calculating Yield) in excess of its ratable share of payments on account of the Asset Interest obtained by the Investors entitled thereto, such Recipient shall forthwith purchase from the Investors entitled to a share of such amount participations in the portions of the Asset Interest owned by such Persons as shall be necessary to cause such Recipient to share the excess payment ratably with each such other Person entitled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all or any portion of such excess payment is thereafter recovered from such Recipient, such purchase from each such other Person shall be rescinded and each such other Person shall repay to the Recipient the purchase price paid by such Recipient for such participation to the extent of such recovery, together with an amount equal to such other</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7" w:lineRule="auto"/>
        <w:rPr>
          <w:sz w:val="20"/>
          <w:szCs w:val="20"/>
          <w:color w:val="auto"/>
        </w:rPr>
      </w:pPr>
      <w:r>
        <w:rPr>
          <w:rFonts w:ascii="Times New Roman" w:cs="Times New Roman" w:eastAsia="Times New Roman" w:hAnsi="Times New Roman"/>
          <w:sz w:val="22"/>
          <w:szCs w:val="22"/>
          <w:color w:val="auto"/>
        </w:rPr>
        <w:t>Person’s ratable share (according to the proportion of (a) the amount of such other Person’s required payment to (b) the total amount so recovered from the Recipient) of any interest or other amount paid or payable by the Recipient in respect of the total amount so recovered.</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Without in any way limiting the provisions of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each of the Agent, each Managing Agent and each Investor is hereby authorized (in addition to any other rights it may have) at any time after the occurrence of the Termination Date due to the occurrence and continuation of a Termination Event, upon prior written notice to the SPV, to set-off, appropriate and apply (without presentment, demand, protest or other notice which are hereby expressly waived) any deposits and any other indebtedness held or owing by the Agent, the Managing Agent or such Investor to, or for the account of, the SPV against the amount of the Aggregate Unpaids owing by the SPV to such Person or to the Agent or the Managing Agent on behalf of such Person (even if contingent or unmatured).</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Settlement Procedures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Daily Procedure</w:t>
      </w:r>
      <w:r>
        <w:rPr>
          <w:rFonts w:ascii="Times New Roman" w:cs="Times New Roman" w:eastAsia="Times New Roman" w:hAnsi="Times New Roman"/>
          <w:sz w:val="22"/>
          <w:szCs w:val="22"/>
          <w:color w:val="auto"/>
        </w:rPr>
        <w:t>. On each day, the Servicer shall, out of the Collections received or deemed received by the SPV and after return of any Excluded Amounts received in error, any of the Originators or the Servicer (including in any Blocked Account) on such day:</w:t>
      </w:r>
    </w:p>
    <w:p>
      <w:pPr>
        <w:spacing w:after="0" w:line="200" w:lineRule="exact"/>
        <w:rPr>
          <w:sz w:val="20"/>
          <w:szCs w:val="20"/>
          <w:color w:val="auto"/>
        </w:rPr>
      </w:pPr>
    </w:p>
    <w:p>
      <w:pPr>
        <w:spacing w:after="0" w:line="216" w:lineRule="exact"/>
        <w:rPr>
          <w:sz w:val="20"/>
          <w:szCs w:val="20"/>
          <w:color w:val="auto"/>
        </w:rPr>
      </w:pPr>
    </w:p>
    <w:p>
      <w:pPr>
        <w:jc w:val="both"/>
        <w:ind w:left="1300" w:firstLine="652"/>
        <w:spacing w:after="0" w:line="253" w:lineRule="auto"/>
        <w:tabs>
          <w:tab w:leader="none" w:pos="25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in trust for the benefit of the Agent (on behalf of each Managing Agent and such Managing Agents’ Investor Groups) an amount equal to the aggregate of the Yield and the Program Fee, in each case for the related Rate Period accrued through such day for all Portions of Investment, the Facility Fee and the Servicing Fee accrued through such day, and any other Aggregate Unpaids (other than Net Investment not then due and owing) accrued through such day and not previously held in trust (and which are then due);</w:t>
      </w:r>
    </w:p>
    <w:p>
      <w:pPr>
        <w:spacing w:after="0" w:line="178" w:lineRule="exact"/>
        <w:rPr>
          <w:rFonts w:ascii="Times New Roman" w:cs="Times New Roman" w:eastAsia="Times New Roman" w:hAnsi="Times New Roman"/>
          <w:sz w:val="22"/>
          <w:szCs w:val="22"/>
          <w:color w:val="auto"/>
        </w:rPr>
      </w:pPr>
    </w:p>
    <w:p>
      <w:pPr>
        <w:ind w:left="1300" w:firstLine="652"/>
        <w:spacing w:after="0" w:line="284" w:lineRule="auto"/>
        <w:tabs>
          <w:tab w:leader="none" w:pos="259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in trust for the benefit of the Agent (on behalf of each Managing Agent and such Managing Agents’ Investor Groups) an amount equal to the excess, if any, of:</w:t>
      </w:r>
    </w:p>
    <w:p>
      <w:pPr>
        <w:spacing w:after="0" w:line="14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greatest of:</w:t>
      </w:r>
    </w:p>
    <w:p>
      <w:pPr>
        <w:spacing w:after="0" w:line="219"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SPV shall have elected to reduce the Net Investment under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of the proposed reduction,</w:t>
      </w:r>
    </w:p>
    <w:p>
      <w:pPr>
        <w:spacing w:after="0" w:line="195" w:lineRule="exact"/>
        <w:rPr>
          <w:rFonts w:ascii="Times New Roman" w:cs="Times New Roman" w:eastAsia="Times New Roman" w:hAnsi="Times New Roman"/>
          <w:sz w:val="22"/>
          <w:szCs w:val="22"/>
          <w:color w:val="auto"/>
        </w:rPr>
      </w:pPr>
    </w:p>
    <w:p>
      <w:pPr>
        <w:jc w:val="both"/>
        <w:ind w:firstLine="3248"/>
        <w:spacing w:after="0" w:line="263" w:lineRule="auto"/>
        <w:tabs>
          <w:tab w:leader="none" w:pos="3883"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if any, by which the sum of the Net Investment and Required Reserves shall exceed the Net Pool Balance, together with the amount, if any, by which the Net Investment shall exceed the Maximum Net Investment, and</w:t>
      </w:r>
    </w:p>
    <w:p>
      <w:pPr>
        <w:spacing w:after="0" w:line="167" w:lineRule="exact"/>
        <w:rPr>
          <w:rFonts w:ascii="Times New Roman" w:cs="Times New Roman" w:eastAsia="Times New Roman" w:hAnsi="Times New Roman"/>
          <w:sz w:val="22"/>
          <w:szCs w:val="22"/>
          <w:color w:val="auto"/>
        </w:rPr>
      </w:pPr>
    </w:p>
    <w:p>
      <w:pPr>
        <w:ind w:left="3900" w:hanging="652"/>
        <w:spacing w:after="0"/>
        <w:tabs>
          <w:tab w:leader="none" w:pos="3900"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day is on or after the Termination Date, the Net Investment; </w:t>
      </w:r>
      <w:r>
        <w:rPr>
          <w:rFonts w:ascii="Times New Roman" w:cs="Times New Roman" w:eastAsia="Times New Roman" w:hAnsi="Times New Roman"/>
          <w:sz w:val="22"/>
          <w:szCs w:val="22"/>
          <w:u w:val="single" w:color="auto"/>
          <w:color w:val="auto"/>
        </w:rPr>
        <w:t>over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90" w:name="page91"/>
    <w:bookmarkEnd w:id="90"/>
    <w:p>
      <w:pPr>
        <w:ind w:left="1740" w:right="220" w:firstLine="640"/>
        <w:spacing w:after="0" w:line="295" w:lineRule="auto"/>
        <w:tabs>
          <w:tab w:leader="none" w:pos="3027" w:val="left"/>
        </w:tabs>
        <w:numPr>
          <w:ilvl w:val="2"/>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of the amounts theretofore set aside and then so held for the benefit of the Managing Agents (on behalf of such Managing Agents’ Investor Groups) pursuant to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and</w:t>
      </w:r>
    </w:p>
    <w:p>
      <w:pPr>
        <w:spacing w:after="0" w:line="135" w:lineRule="exact"/>
        <w:rPr>
          <w:rFonts w:ascii="Times New Roman" w:cs="Times New Roman" w:eastAsia="Times New Roman" w:hAnsi="Times New Roman"/>
          <w:sz w:val="21"/>
          <w:szCs w:val="21"/>
          <w:color w:val="auto"/>
        </w:rPr>
      </w:pPr>
    </w:p>
    <w:p>
      <w:pPr>
        <w:jc w:val="both"/>
        <w:ind w:left="1080" w:firstLine="652"/>
        <w:spacing w:after="0" w:line="253" w:lineRule="auto"/>
        <w:tabs>
          <w:tab w:leader="none" w:pos="237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the remainder, if any, of such Collections to the SPV for application to Reinvestment, for the benefit of the Agent (for the benefit of the Investor), in the Receivables and other Affected Assets in accordance with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 xml:space="preserve">. To the extent and for so long as such Collections may not be reinvested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w:t>
      </w:r>
      <w:r>
        <w:rPr>
          <w:rFonts w:ascii="Times New Roman" w:cs="Times New Roman" w:eastAsia="Times New Roman" w:hAnsi="Times New Roman"/>
          <w:sz w:val="22"/>
          <w:szCs w:val="22"/>
          <w:color w:val="auto"/>
        </w:rPr>
        <w:t>, the Servicer shall hold such Collections in trust for the benefit of the Agent (for the benefit of the Investors).</w:t>
      </w:r>
    </w:p>
    <w:p>
      <w:pPr>
        <w:spacing w:after="0" w:line="178"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Procedures.</w:t>
      </w:r>
    </w:p>
    <w:p>
      <w:pPr>
        <w:spacing w:after="0" w:line="233" w:lineRule="exact"/>
        <w:rPr>
          <w:rFonts w:ascii="Times New Roman" w:cs="Times New Roman" w:eastAsia="Times New Roman" w:hAnsi="Times New Roman"/>
          <w:sz w:val="22"/>
          <w:szCs w:val="22"/>
          <w:color w:val="auto"/>
        </w:rPr>
      </w:pPr>
    </w:p>
    <w:p>
      <w:pPr>
        <w:jc w:val="both"/>
        <w:ind w:left="1080" w:firstLine="652"/>
        <w:spacing w:after="0" w:line="257" w:lineRule="auto"/>
        <w:tabs>
          <w:tab w:leader="none" w:pos="236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shall deposit into the Collection Account, on each Business Day selected by the SPV for a reduction of the Net Investment under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the amount of Collections held for the Agent pursuant to </w:t>
      </w:r>
      <w:r>
        <w:rPr>
          <w:rFonts w:ascii="Times New Roman" w:cs="Times New Roman" w:eastAsia="Times New Roman" w:hAnsi="Times New Roman"/>
          <w:sz w:val="22"/>
          <w:szCs w:val="22"/>
          <w:u w:val="single" w:color="auto"/>
          <w:color w:val="auto"/>
        </w:rPr>
        <w:t>Section 2.12(a)(ii)(A)(1)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080" w:firstLine="652"/>
        <w:spacing w:after="0" w:line="257" w:lineRule="auto"/>
        <w:tabs>
          <w:tab w:leader="none" w:pos="237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any date on or prior to the Termination Date, if the sum of the Net Investment and Required Reserves exceeds the Net Pool Balance, the Servicer shall immediately pay to the Collection Account from amounts set aside pursuant to </w:t>
      </w:r>
      <w:r>
        <w:rPr>
          <w:rFonts w:ascii="Times New Roman" w:cs="Times New Roman" w:eastAsia="Times New Roman" w:hAnsi="Times New Roman"/>
          <w:sz w:val="22"/>
          <w:szCs w:val="22"/>
          <w:u w:val="single" w:color="auto"/>
          <w:color w:val="auto"/>
        </w:rPr>
        <w:t>Section 2.12(a)(ii)(A)(2)</w:t>
      </w:r>
      <w:r>
        <w:rPr>
          <w:rFonts w:ascii="Times New Roman" w:cs="Times New Roman" w:eastAsia="Times New Roman" w:hAnsi="Times New Roman"/>
          <w:sz w:val="22"/>
          <w:szCs w:val="22"/>
          <w:color w:val="auto"/>
        </w:rPr>
        <w:t xml:space="preserve"> an amount equal to such excess.</w:t>
      </w:r>
    </w:p>
    <w:p>
      <w:pPr>
        <w:spacing w:after="0" w:line="186" w:lineRule="exact"/>
        <w:rPr>
          <w:rFonts w:ascii="Times New Roman" w:cs="Times New Roman" w:eastAsia="Times New Roman" w:hAnsi="Times New Roman"/>
          <w:sz w:val="22"/>
          <w:szCs w:val="22"/>
          <w:color w:val="auto"/>
        </w:rPr>
      </w:pPr>
    </w:p>
    <w:p>
      <w:pPr>
        <w:jc w:val="both"/>
        <w:ind w:left="1080" w:firstLine="652"/>
        <w:spacing w:after="0" w:line="252" w:lineRule="auto"/>
        <w:tabs>
          <w:tab w:leader="none" w:pos="237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each Settlement Date, the Servicer shall deposit to the Collection Account out of the amount, if any, held in trust pursuant to </w:t>
      </w:r>
      <w:r>
        <w:rPr>
          <w:rFonts w:ascii="Times New Roman" w:cs="Times New Roman" w:eastAsia="Times New Roman" w:hAnsi="Times New Roman"/>
          <w:sz w:val="22"/>
          <w:szCs w:val="22"/>
          <w:u w:val="single" w:color="auto"/>
          <w:color w:val="auto"/>
        </w:rPr>
        <w:t>Section 2.12(a)(i)</w:t>
      </w:r>
      <w:r>
        <w:rPr>
          <w:rFonts w:ascii="Times New Roman" w:cs="Times New Roman" w:eastAsia="Times New Roman" w:hAnsi="Times New Roman"/>
          <w:sz w:val="22"/>
          <w:szCs w:val="22"/>
          <w:color w:val="auto"/>
        </w:rPr>
        <w:t xml:space="preserve"> and (to the extent not theretofore reinvested) </w:t>
      </w:r>
      <w:r>
        <w:rPr>
          <w:rFonts w:ascii="Times New Roman" w:cs="Times New Roman" w:eastAsia="Times New Roman" w:hAnsi="Times New Roman"/>
          <w:sz w:val="22"/>
          <w:szCs w:val="22"/>
          <w:u w:val="single" w:color="auto"/>
          <w:color w:val="auto"/>
        </w:rPr>
        <w:t>Section 2.12(a)(iii)</w:t>
      </w:r>
      <w:r>
        <w:rPr>
          <w:rFonts w:ascii="Times New Roman" w:cs="Times New Roman" w:eastAsia="Times New Roman" w:hAnsi="Times New Roman"/>
          <w:sz w:val="22"/>
          <w:szCs w:val="22"/>
          <w:color w:val="auto"/>
        </w:rPr>
        <w:t xml:space="preserve"> and not theretofore deposited to the Collection Account pursuant to this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an amount equal to the lesser of such amount and the Net Investment;</w:t>
      </w:r>
    </w:p>
    <w:p>
      <w:pPr>
        <w:spacing w:after="0" w:line="179" w:lineRule="exact"/>
        <w:rPr>
          <w:sz w:val="20"/>
          <w:szCs w:val="20"/>
          <w:color w:val="auto"/>
        </w:rPr>
      </w:pPr>
    </w:p>
    <w:p>
      <w:pPr>
        <w:jc w:val="both"/>
        <w:ind w:left="1080"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Agent gives its consent (which consent may be revoked at any time during the continuation of a Termination Event or a Potential Termination Event), the Servicer may retain amounts which would otherwise be deposited in respect of the accrued and unpaid Servicing Fee, in which case no distribution shall be made in respect of such Servicing Fee under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below. Any amounts set aside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2.12(a)</w:t>
      </w:r>
      <w:r>
        <w:rPr>
          <w:rFonts w:ascii="Times New Roman" w:cs="Times New Roman" w:eastAsia="Times New Roman" w:hAnsi="Times New Roman"/>
          <w:sz w:val="22"/>
          <w:szCs w:val="22"/>
          <w:color w:val="auto"/>
        </w:rPr>
        <w:t xml:space="preserve"> in excess of the amount required to be deposited in the Collection Account pursuant to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shall continue to be set aside and held in trust by the Servicer for application on the next succeeding Settlement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(i) the Servicer makes a deposit into the Collection Account in respect of a Collection of a Receivable and such Collection was received by the Servicer in the form of a check that is not honored for any reason, (ii) the Servicer makes a mistake with respect to the amount of any Collection and deposits an amount that is less than or more than the actual amount of such Collection or (iii) the deposit was made in error and constitutes an Excluded Amount, the Servicer shall appropriately adjust the amount subsequently deposited into the Collection Account to reflect such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020"/>
          </w:cols>
          <w:pgMar w:left="540" w:top="1422" w:right="339" w:bottom="1440" w:gutter="0" w:footer="0" w:header="0"/>
        </w:sectPr>
      </w:pPr>
    </w:p>
    <w:bookmarkStart w:id="91" w:name="page92"/>
    <w:bookmarkEnd w:id="91"/>
    <w:p>
      <w:pPr>
        <w:ind w:left="1300"/>
        <w:spacing w:after="0" w:line="271" w:lineRule="auto"/>
        <w:rPr>
          <w:sz w:val="20"/>
          <w:szCs w:val="20"/>
          <w:color w:val="auto"/>
        </w:rPr>
      </w:pPr>
      <w:r>
        <w:rPr>
          <w:rFonts w:ascii="Times New Roman" w:cs="Times New Roman" w:eastAsia="Times New Roman" w:hAnsi="Times New Roman"/>
          <w:sz w:val="22"/>
          <w:szCs w:val="22"/>
          <w:color w:val="auto"/>
        </w:rPr>
        <w:t>dishonored check or mistake. Any payment in respect of which a dishonored check is received shall be deemed not to have been paid.</w:t>
      </w:r>
    </w:p>
    <w:p>
      <w:pPr>
        <w:spacing w:after="0" w:line="158" w:lineRule="exact"/>
        <w:rPr>
          <w:sz w:val="20"/>
          <w:szCs w:val="20"/>
          <w:color w:val="auto"/>
        </w:rPr>
      </w:pPr>
    </w:p>
    <w:p>
      <w:pPr>
        <w:jc w:val="both"/>
        <w:ind w:firstLine="1304"/>
        <w:spacing w:after="0" w:line="263"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Order of Application</w:t>
      </w:r>
      <w:r>
        <w:rPr>
          <w:rFonts w:ascii="Times New Roman" w:cs="Times New Roman" w:eastAsia="Times New Roman" w:hAnsi="Times New Roman"/>
          <w:sz w:val="22"/>
          <w:szCs w:val="22"/>
          <w:color w:val="auto"/>
        </w:rPr>
        <w:t xml:space="preserve">. Upon receipt by the SPV of funds deposited to the Collection Account pursuant to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the Servicer or, following the occurrence and during the continuance of a Potential Termination Event or Termination Event, the Agent shall distribute them to the Persons, for the purposes and in the order of priority set forth below:</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8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Agent, for the benefit of each Managing Agent,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based on the amount of accrued and unpaid Yield owing to such Managing Agent’s Investor Group, in payment of the accrued and unpaid Yield and Program Fee on all Portions of Investment and for the related Rate Period and the Facility Fee then due and owing;</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59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Originator or any Affiliate of an Originator is not then the Servicer, to the Servicer, in payment of the accrued and unpaid Servicing Fee then due and owing on such Settlement Date;</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596"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Agent, for the benefit of each Managing Agent, (A) prior to the Termination Date, except as otherwise provided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based upon the Net Investment attributable to such Managing Agent’s Investor Group in reduction of the outstanding Net Investment, an amount equal to the sum of (x) the positive difference (if any) of (I) the sum of the Net Investment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Required Reserves minus (II) the Net Pool Balance and (y) the amount of any optional reduction of the Net Investment specified by the SPV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and (B) on or after the Termination Date,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based upon the Net Investment attributable to such Managing Agent’s Investor Group in reduction of the outstanding Net Investment, an amount equal to the outstanding Net Investment;</w:t>
      </w:r>
    </w:p>
    <w:p>
      <w:pPr>
        <w:spacing w:after="0" w:line="195"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84"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Agent, and to the Agent for the benefit of each other Secured Party as such Secured Party may be entitled to such payment,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based on the amounts due and owing to each of them, in payment of any other Aggregate Unpaids (other than Net Investment not then due and owing) then due and owing by the SPV hereunder to such Person (including, without limitation, any amounts owed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hereof) (in each case, without duplication);</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9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Originator or any Affiliate of an Originator is the Servicer, to the Servicer in payment of the accrued Servicing Fee then due and owing on such Settlement Date, to the extent not paid pursuant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or retained pursuant to </w:t>
      </w:r>
      <w:r>
        <w:rPr>
          <w:rFonts w:ascii="Times New Roman" w:cs="Times New Roman" w:eastAsia="Times New Roman" w:hAnsi="Times New Roman"/>
          <w:sz w:val="22"/>
          <w:szCs w:val="22"/>
          <w:u w:val="single" w:color="auto"/>
          <w:color w:val="auto"/>
        </w:rPr>
        <w:t>Section 2.12(b)</w:t>
      </w:r>
      <w:r>
        <w:rPr>
          <w:rFonts w:ascii="Times New Roman" w:cs="Times New Roman" w:eastAsia="Times New Roman" w:hAnsi="Times New Roman"/>
          <w:sz w:val="22"/>
          <w:szCs w:val="22"/>
          <w:color w:val="auto"/>
        </w:rPr>
        <w:t xml:space="preserve"> above; and</w:t>
      </w:r>
    </w:p>
    <w:p>
      <w:pPr>
        <w:spacing w:after="0" w:line="17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SPV, any remaining amounts.</w:t>
      </w:r>
    </w:p>
    <w:p>
      <w:pPr>
        <w:spacing w:after="0" w:line="22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Optional Reduction of Net Investment</w:t>
      </w:r>
      <w:r>
        <w:rPr>
          <w:rFonts w:ascii="Times New Roman" w:cs="Times New Roman" w:eastAsia="Times New Roman" w:hAnsi="Times New Roman"/>
          <w:sz w:val="22"/>
          <w:szCs w:val="22"/>
          <w:color w:val="auto"/>
        </w:rPr>
        <w:t>. The SPV may at any time elect to cause the reduction of the Net Investment as follows:</w:t>
      </w: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92" w:name="page93"/>
    <w:bookmarkEnd w:id="92"/>
    <w:p>
      <w:pPr>
        <w:jc w:val="both"/>
        <w:ind w:firstLine="1304"/>
        <w:spacing w:after="0" w:line="257"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SPV shall instruct the Servicer to (and the Servicer shall) set aside Collections and hold them in trust for the Managing Agents (on behalf of such Managing Agents’ Investor Groups) under </w:t>
      </w:r>
      <w:r>
        <w:rPr>
          <w:rFonts w:ascii="Times New Roman" w:cs="Times New Roman" w:eastAsia="Times New Roman" w:hAnsi="Times New Roman"/>
          <w:sz w:val="22"/>
          <w:szCs w:val="22"/>
          <w:u w:val="single" w:color="auto"/>
          <w:color w:val="auto"/>
        </w:rPr>
        <w:t>Section 2.12(a)(ii)(A)(1)</w:t>
      </w:r>
      <w:r>
        <w:rPr>
          <w:rFonts w:ascii="Times New Roman" w:cs="Times New Roman" w:eastAsia="Times New Roman" w:hAnsi="Times New Roman"/>
          <w:sz w:val="22"/>
          <w:szCs w:val="22"/>
          <w:color w:val="auto"/>
        </w:rPr>
        <w:t xml:space="preserve"> until the amount so set aside shall equal the desired amount of reduction;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Servicer may pay to each applicable Managing Agent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based on the Net Investment attributed to such Managing Agents’ Investor Group), in reduction of the Net Investment, the amount of such Collections so held or, if less, the Net Investment (it being understood that the Net Investment shall not be deemed reduced by any amount set aside or held pursuant to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unless and until, and then only to the extent that, such amount is finally paid to the applicable Managing Agents as aforesaid) (i) on any Business Day if, at such time, (A) PNC (or an Affiliate thereof) is the Agent,</w:t>
      </w:r>
    </w:p>
    <w:p>
      <w:pPr>
        <w:jc w:val="both"/>
        <w:ind w:firstLine="8"/>
        <w:spacing w:after="0" w:line="248" w:lineRule="auto"/>
        <w:tabs>
          <w:tab w:leader="none" w:pos="3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SPV has entered into a PINACLE Agreement and (C) such prepayment is made with PINACLE;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prepayment made with PINACLE after 12:00 p.m. Eastern Time on any day shall be deemed to have been made on the next occurring Business Day, or (ii) upon written notice by delivering to the Agent written notice of the amount of such reduction and the date on which such reduction will occur no later than at least one (1) Business Day before the proposed Business Day of such prepayment (</w:t>
      </w:r>
      <w:r>
        <w:rPr>
          <w:rFonts w:ascii="Times New Roman" w:cs="Times New Roman" w:eastAsia="Times New Roman" w:hAnsi="Times New Roman"/>
          <w:sz w:val="22"/>
          <w:szCs w:val="22"/>
          <w:u w:val="single" w:color="auto"/>
          <w:color w:val="auto"/>
        </w:rPr>
        <w:t>it being understood</w:t>
      </w:r>
      <w:r>
        <w:rPr>
          <w:rFonts w:ascii="Times New Roman" w:cs="Times New Roman" w:eastAsia="Times New Roman" w:hAnsi="Times New Roman"/>
          <w:sz w:val="22"/>
          <w:szCs w:val="22"/>
          <w:color w:val="auto"/>
        </w:rPr>
        <w:t xml:space="preserve"> that any such request made after such time shall be deemed to have been made on the next occurring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any such reduction shall be not less than $1,000,000 or an integral aggregate multiple of $100,000 in excess thereof.</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Application of Collections Distributable to SPV</w:t>
      </w:r>
      <w:r>
        <w:rPr>
          <w:rFonts w:ascii="Times New Roman" w:cs="Times New Roman" w:eastAsia="Times New Roman" w:hAnsi="Times New Roman"/>
          <w:sz w:val="22"/>
          <w:szCs w:val="22"/>
          <w:color w:val="auto"/>
        </w:rPr>
        <w:t xml:space="preserve">. The Servicer shall allocate and apply, on behalf of the SPV, Collections distributable to the SPV hereunder pursuant to </w:t>
      </w:r>
      <w:r>
        <w:rPr>
          <w:rFonts w:ascii="Times New Roman" w:cs="Times New Roman" w:eastAsia="Times New Roman" w:hAnsi="Times New Roman"/>
          <w:sz w:val="22"/>
          <w:szCs w:val="22"/>
          <w:u w:val="single" w:color="auto"/>
          <w:color w:val="auto"/>
        </w:rPr>
        <w:t>Section 2.12(c)(vi)</w:t>
      </w:r>
      <w:r>
        <w:rPr>
          <w:rFonts w:ascii="Times New Roman" w:cs="Times New Roman" w:eastAsia="Times New Roman" w:hAnsi="Times New Roman"/>
          <w:sz w:val="22"/>
          <w:szCs w:val="22"/>
          <w:color w:val="auto"/>
        </w:rPr>
        <w:t xml:space="preserve">, in accordance with the instructions of the SPV,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SPV shall instruct the Servicer to allocate and apply such Collections so that the operating expenses and other contractual obligations of the SPV are timely paid when due.</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Collections Held in Trust</w:t>
      </w:r>
      <w:r>
        <w:rPr>
          <w:rFonts w:ascii="Times New Roman" w:cs="Times New Roman" w:eastAsia="Times New Roman" w:hAnsi="Times New Roman"/>
          <w:sz w:val="22"/>
          <w:szCs w:val="22"/>
          <w:color w:val="auto"/>
        </w:rPr>
        <w:t xml:space="preserve">. So long as the SPV or the Servicer shall hold any Collections or Deemed Collections then or thereafter required to be paid by the SPV to the Servicer or by the SPV or the Servicer to the Agent, it shall hold such Collections in trust, and shall deposit such Collections into a Blocked Account or the Collection Account at such times otherwise required by this Agreement. The Net Investment shall not be deemed reduced by any amount held in trust or in the Collection Account pursuant to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 xml:space="preserve"> unless and until, and then only to the extent that, such amount is finally paid to the Agent or the applicable Managing Agent in accordance with </w:t>
      </w:r>
      <w:r>
        <w:rPr>
          <w:rFonts w:ascii="Times New Roman" w:cs="Times New Roman" w:eastAsia="Times New Roman" w:hAnsi="Times New Roman"/>
          <w:sz w:val="22"/>
          <w:szCs w:val="22"/>
          <w:u w:val="single" w:color="auto"/>
          <w:color w:val="auto"/>
        </w:rPr>
        <w:t>Sections 2.12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Reduction of Facility Limit</w:t>
      </w:r>
      <w:r>
        <w:rPr>
          <w:rFonts w:ascii="Times New Roman" w:cs="Times New Roman" w:eastAsia="Times New Roman" w:hAnsi="Times New Roman"/>
          <w:sz w:val="22"/>
          <w:szCs w:val="22"/>
          <w:color w:val="auto"/>
        </w:rPr>
        <w:t xml:space="preserve">. The SPV may, upon at least ten (10) Business Days’ written notice to the Agent and each Managing Agent, terminate the facility provided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whole or, from time to time, irrevocably reduce in part the unused portion of the Facility Limit;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partial reduction shall be in the amount of at least $5,000,000, or an integral multiple of $1,000,000 in excess thereof, and that, unless terminated in whole, the Facility Limit shall in no event be reduced below $50,000,000;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addition to and without limiting any other requirements for termination or prepayment</w:t>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hereunder) no such termination in whole shall be effective unless and until all Aggregate Unpaids have been paid in full. The Agent shall advise the Managing Agents of any notice it receives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Increase of Facility Limit</w:t>
      </w:r>
      <w:r>
        <w:rPr>
          <w:rFonts w:ascii="Times New Roman" w:cs="Times New Roman" w:eastAsia="Times New Roman" w:hAnsi="Times New Roman"/>
          <w:sz w:val="22"/>
          <w:szCs w:val="22"/>
          <w:color w:val="auto"/>
        </w:rPr>
        <w:t>. So long as the Commitment Termination Date has not occurred and no Termination Event exists, at any time prior to the Commitment Termination Date (the “</w:t>
      </w:r>
      <w:r>
        <w:rPr>
          <w:rFonts w:ascii="Times New Roman" w:cs="Times New Roman" w:eastAsia="Times New Roman" w:hAnsi="Times New Roman"/>
          <w:sz w:val="22"/>
          <w:szCs w:val="22"/>
          <w:u w:val="single" w:color="auto"/>
          <w:color w:val="auto"/>
        </w:rPr>
        <w:t>Increase Period</w:t>
      </w:r>
      <w:r>
        <w:rPr>
          <w:rFonts w:ascii="Times New Roman" w:cs="Times New Roman" w:eastAsia="Times New Roman" w:hAnsi="Times New Roman"/>
          <w:sz w:val="22"/>
          <w:szCs w:val="22"/>
          <w:color w:val="auto"/>
        </w:rPr>
        <w:t>”), the Servicer may, upon 10 Business Days’ prior written notice to each Committed Investor, request (a “</w:t>
      </w:r>
      <w:r>
        <w:rPr>
          <w:rFonts w:ascii="Times New Roman" w:cs="Times New Roman" w:eastAsia="Times New Roman" w:hAnsi="Times New Roman"/>
          <w:sz w:val="22"/>
          <w:szCs w:val="22"/>
          <w:u w:val="single" w:color="auto"/>
          <w:color w:val="auto"/>
        </w:rPr>
        <w:t>Facility Limit Increase Request</w:t>
      </w:r>
      <w:r>
        <w:rPr>
          <w:rFonts w:ascii="Times New Roman" w:cs="Times New Roman" w:eastAsia="Times New Roman" w:hAnsi="Times New Roman"/>
          <w:sz w:val="22"/>
          <w:szCs w:val="22"/>
          <w:color w:val="auto"/>
        </w:rPr>
        <w:t>”) that the Facility Limit be increased by an amount not to exceed $25,000,000 (the “</w:t>
      </w:r>
      <w:r>
        <w:rPr>
          <w:rFonts w:ascii="Times New Roman" w:cs="Times New Roman" w:eastAsia="Times New Roman" w:hAnsi="Times New Roman"/>
          <w:sz w:val="22"/>
          <w:szCs w:val="22"/>
          <w:u w:val="single" w:color="auto"/>
          <w:color w:val="auto"/>
        </w:rPr>
        <w:t>Increase Amount</w:t>
      </w:r>
      <w:r>
        <w:rPr>
          <w:rFonts w:ascii="Times New Roman" w:cs="Times New Roman" w:eastAsia="Times New Roman" w:hAnsi="Times New Roman"/>
          <w:sz w:val="22"/>
          <w:szCs w:val="22"/>
          <w:color w:val="auto"/>
        </w:rPr>
        <w:t xml:space="preserve">”) and that each Committed Investor’s Commitment be increased ratably based upon such Committed Investor’s pro rata share of the Increase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Committed Investor’s Commitment shall be increased as a result of a Facility Limit Increase Request unless such Committed Investor has consented to such increase in its sole discretion in writing.</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2.18</w:t>
      </w:r>
      <w:r>
        <w:rPr>
          <w:sz w:val="20"/>
          <w:szCs w:val="20"/>
          <w:color w:val="auto"/>
        </w:rPr>
        <w:tab/>
      </w: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firstLine="1304"/>
        <w:spacing w:after="0"/>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Transaction Document, if a Benchmark Transition Event and its related Benchmark Replacement Date have occurred prior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(2) 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the date notice of such Benchmark Replacement is provided to the Investors without any amendment to, or further action or consent of any other party to, this Agreement or any other Transaction Document so long as the Agent has not received, by such time, written notice of objection to such Benchmark Replacement from Majority Investors.</w:t>
      </w:r>
    </w:p>
    <w:p>
      <w:pPr>
        <w:spacing w:after="0" w:line="19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Agent will have the right to make (in consultation with the SPV)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 or any other Transaction Document.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The Agent will promptly notify the SPV and the Investors of (i) any occurrence of a Benchmark Transition Event, (ii) the implementation of any Benchmark Replacement, (iii) the effectiveness of any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Benchmark Replacement Conforming Changes, (iv) the removal or reinstatement of any tenor of a Benchmark pursuant to </w:t>
      </w:r>
      <w:r>
        <w:rPr>
          <w:rFonts w:ascii="Times New Roman" w:cs="Times New Roman" w:eastAsia="Times New Roman" w:hAnsi="Times New Roman"/>
          <w:sz w:val="22"/>
          <w:szCs w:val="22"/>
          <w:u w:val="single" w:color="auto"/>
          <w:color w:val="auto"/>
        </w:rPr>
        <w:t>Section 2.18(d)</w:t>
      </w:r>
      <w:r>
        <w:rPr>
          <w:rFonts w:ascii="Times New Roman" w:cs="Times New Roman" w:eastAsia="Times New Roman" w:hAnsi="Times New Roman"/>
          <w:sz w:val="22"/>
          <w:szCs w:val="22"/>
          <w:color w:val="auto"/>
        </w:rPr>
        <w:t xml:space="preserve"> and (v) the commencement or conclusion of any Benchmark Unavailability Period. Any determination, decision or election that may be made by the Agent or, if applicable, any Investor (or group of Investors) pursuant to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304"/>
        <w:spacing w:after="0" w:line="261" w:lineRule="auto"/>
        <w:tabs>
          <w:tab w:leader="none" w:pos="193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Transaction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“Rate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“Rate Period” (or any similar or analogous definition) for all Benchmark settings at or after such time to reinstate such previously removed tenor.</w:t>
      </w:r>
    </w:p>
    <w:p>
      <w:pPr>
        <w:spacing w:after="0" w:line="183" w:lineRule="exact"/>
        <w:rPr>
          <w:rFonts w:ascii="Times New Roman" w:cs="Times New Roman" w:eastAsia="Times New Roman" w:hAnsi="Times New Roman"/>
          <w:sz w:val="21"/>
          <w:szCs w:val="21"/>
          <w:color w:val="auto"/>
        </w:rPr>
      </w:pPr>
    </w:p>
    <w:p>
      <w:pPr>
        <w:jc w:val="both"/>
        <w:ind w:firstLine="1304"/>
        <w:spacing w:after="0" w:line="268" w:lineRule="auto"/>
        <w:tabs>
          <w:tab w:leader="none" w:pos="1941"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Upon the SPV’s receipt of notice of the commencement of a Benchmark Unavailability Period, the SPV may revoke any request for an Investment.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74" w:lineRule="exact"/>
        <w:rPr>
          <w:sz w:val="20"/>
          <w:szCs w:val="20"/>
          <w:color w:val="auto"/>
        </w:rPr>
      </w:pPr>
    </w:p>
    <w:p>
      <w:pPr>
        <w:ind w:left="660" w:right="2900" w:firstLine="2249"/>
        <w:spacing w:after="0" w:line="450" w:lineRule="auto"/>
        <w:rPr>
          <w:sz w:val="20"/>
          <w:szCs w:val="20"/>
          <w:color w:val="auto"/>
        </w:rPr>
      </w:pPr>
      <w:r>
        <w:rPr>
          <w:rFonts w:ascii="Times New Roman" w:cs="Times New Roman" w:eastAsia="Times New Roman" w:hAnsi="Times New Roman"/>
          <w:sz w:val="22"/>
          <w:szCs w:val="22"/>
          <w:b w:val="1"/>
          <w:bCs w:val="1"/>
          <w:color w:val="auto"/>
        </w:rPr>
        <w:t xml:space="preserve">ADDITIONAL COMMITTED INVESTOR PROVISIONS </w:t>
      </w: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Assignment to Committed Investors</w:t>
      </w:r>
      <w:r>
        <w:rPr>
          <w:rFonts w:ascii="Times New Roman" w:cs="Times New Roman" w:eastAsia="Times New Roman" w:hAnsi="Times New Roman"/>
          <w:sz w:val="22"/>
          <w:szCs w:val="22"/>
          <w:color w:val="auto"/>
        </w:rPr>
        <w:t>.</w:t>
      </w:r>
    </w:p>
    <w:p>
      <w:pPr>
        <w:jc w:val="both"/>
        <w:ind w:firstLine="1304"/>
        <w:spacing w:after="0" w:line="256"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Amounts</w:t>
      </w:r>
      <w:r>
        <w:rPr>
          <w:rFonts w:ascii="Times New Roman" w:cs="Times New Roman" w:eastAsia="Times New Roman" w:hAnsi="Times New Roman"/>
          <w:sz w:val="22"/>
          <w:szCs w:val="22"/>
          <w:color w:val="auto"/>
        </w:rPr>
        <w:t>. At any time on or prior to the Commitment Termination Date for the applicable Conduit Investor, if the related Administrator on behalf of such Conduit Investor in such Investor Group so elects, by written notice to the Agent, the SPV hereby irrevocably requests and directs that such Conduit Investor assign, and such Conduit Investor does hereby assign effective on the Assignment Date referred to below all or such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portions as may be elected by the Conduit Investor of its interest in the Net Investment and the Asset Interest at such time to the Committed Investors in its Investor Group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and the SPV hereby agrees to pay the amounts described in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such assignment is an assignment of all of such Conduit Investor’s interest in the Net Investment and the Asset Interest in whole on or after such Conduit Investment Termination Date, no such assignment shall take place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if a Termination Event described in </w:t>
      </w:r>
      <w:r>
        <w:rPr>
          <w:rFonts w:ascii="Times New Roman" w:cs="Times New Roman" w:eastAsia="Times New Roman" w:hAnsi="Times New Roman"/>
          <w:sz w:val="22"/>
          <w:szCs w:val="22"/>
          <w:u w:val="single" w:color="auto"/>
          <w:color w:val="auto"/>
        </w:rPr>
        <w:t>Section 8.1(g)</w:t>
      </w:r>
      <w:r>
        <w:rPr>
          <w:rFonts w:ascii="Times New Roman" w:cs="Times New Roman" w:eastAsia="Times New Roman" w:hAnsi="Times New Roman"/>
          <w:sz w:val="22"/>
          <w:szCs w:val="22"/>
          <w:color w:val="auto"/>
        </w:rPr>
        <w:t xml:space="preserve"> shall then exist;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such assignment shall take place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at a time when an Event of Bankruptcy with respect to such Conduit Investor exists. No further documentation or action on the part of such Conduit Investor or the SPV shall be required to exercise the rights set forth in the immediately preceding sentence, other than the giving of the notice by the related Administrator on behalf of such Conduit Investor referred to in such sentence and the delivery by the related Administrator of a copy of such notice to each Committed Investor in its Investor Group (the date of the receipt by such Administrator of any such notice being the “</w:t>
      </w:r>
      <w:r>
        <w:rPr>
          <w:rFonts w:ascii="Times New Roman" w:cs="Times New Roman" w:eastAsia="Times New Roman" w:hAnsi="Times New Roman"/>
          <w:sz w:val="22"/>
          <w:szCs w:val="22"/>
          <w:u w:val="single" w:color="auto"/>
          <w:color w:val="auto"/>
        </w:rPr>
        <w:t>Assignment Date</w:t>
      </w:r>
      <w:r>
        <w:rPr>
          <w:rFonts w:ascii="Times New Roman" w:cs="Times New Roman" w:eastAsia="Times New Roman" w:hAnsi="Times New Roman"/>
          <w:sz w:val="22"/>
          <w:szCs w:val="22"/>
          <w:color w:val="auto"/>
        </w:rPr>
        <w:t xml:space="preserve">”). Each Committed Investor hereby agrees, unconditionally and irrevocably and under all circumstances, without setoff, counterclaim or defense of any kind, to pay the full amount of its Assignment Amount on such Assignment Date to the applicable Conduit Investor in immediately available funds to an account designated by the related Administrator. Upon payment of its Assignment Amount, each related Committed Investor shall acquire an interest in the Asset Interest and the Net Investment equal to its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(based on the outstanding portions of the Net Investment funded by it) of the assigned portion of the Net Investment. Upon any assignment in whole by a Conduit Investor to the Committed Investors in its Investor Group on or after the Conduit Investment Termination Date as contemplated hereunder, such Conduit Investor shall cease to make any additional Investments or Reinvestments hereunder. At all times prior to the Conduit Investment Termination Date, nothing herein shall prevent the Conduit Investor from making a subsequent Investment or Reinvestment hereunder, in its sole discretion, following any assignment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 from making more than one assignment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1304"/>
        <w:spacing w:after="0" w:line="248" w:lineRule="auto"/>
        <w:tabs>
          <w:tab w:leader="none" w:pos="193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SPV’s Obligation to Pay Certain Amounts; Additional Assignment Amount</w:t>
      </w:r>
      <w:r>
        <w:rPr>
          <w:rFonts w:ascii="Times New Roman" w:cs="Times New Roman" w:eastAsia="Times New Roman" w:hAnsi="Times New Roman"/>
          <w:sz w:val="22"/>
          <w:szCs w:val="22"/>
          <w:color w:val="auto"/>
        </w:rPr>
        <w:t xml:space="preserve">. The SPV shall pay to the applicable Administrator, for the account of the applicable Uncommitted Investor, in connection with any assignment by such Uncommitted Investor to the Committed Investors in its Investor Group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an aggregate amount equal to all Yield to accrue through the end of the current Rate Period to the extent attributable to the portion of the Net Investment so assigned to the Committed Investors (as determined immediately prior to giving effect to such assignment),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all other Aggregate Unpaids then owing to such Uncommitted Investor (other than the Net Investment and other than any Yield not described above) related to the portion of the Net Investment so assigned to the Committed Investors in its Investor Group. If the SPV fails to make payment of such amounts at or prior to the time of assignment by the Uncommitted Investor to the Committed Investors, such amount shall be paid by the Committed Investors (in accordance with their respective Pro Rata Shares) to the Uncommitted Investor as additional consideration for the interests assigned to the Committed Investors and the amount of the “Net Investment” hereunder held by the Committed Investors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2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shall be increased by an amount equal to the additional amount so paid by the Committed Investors.</w:t>
      </w:r>
    </w:p>
    <w:p>
      <w:pPr>
        <w:spacing w:after="0" w:line="220" w:lineRule="exact"/>
        <w:rPr>
          <w:sz w:val="20"/>
          <w:szCs w:val="20"/>
          <w:color w:val="auto"/>
        </w:rPr>
      </w:pPr>
    </w:p>
    <w:p>
      <w:pPr>
        <w:jc w:val="both"/>
        <w:ind w:firstLine="1304"/>
        <w:spacing w:after="0" w:line="268" w:lineRule="auto"/>
        <w:tabs>
          <w:tab w:leader="none" w:pos="194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Agreement after Assignment from Conduit Investor to Committed Investors following the Conduit Investment Termination Date</w:t>
      </w:r>
      <w:r>
        <w:rPr>
          <w:rFonts w:ascii="Times New Roman" w:cs="Times New Roman" w:eastAsia="Times New Roman" w:hAnsi="Times New Roman"/>
          <w:sz w:val="21"/>
          <w:szCs w:val="21"/>
          <w:color w:val="auto"/>
        </w:rPr>
        <w:t xml:space="preserve">. After any assignment in whole by a Conduit Investor to the Committed Investors in its Investor Group pursuant to this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at any time on or after the related Conduit Investment Termination Date (and the payment of all amounts owing to the Conduit Investor in connection therewith), all rights of the applicable Administrator set forth herein shall be given to the Managing Agent on behalf of the applicable Committed Investors instead of the Administrator.</w:t>
      </w:r>
    </w:p>
    <w:p>
      <w:pPr>
        <w:spacing w:after="0" w:line="163"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to Agent’s Account</w:t>
      </w:r>
      <w:r>
        <w:rPr>
          <w:rFonts w:ascii="Times New Roman" w:cs="Times New Roman" w:eastAsia="Times New Roman" w:hAnsi="Times New Roman"/>
          <w:sz w:val="22"/>
          <w:szCs w:val="22"/>
          <w:color w:val="auto"/>
        </w:rPr>
        <w:t xml:space="preserve">. After any assignment in whole by a Conduit Investor to the Committed Investors in its Investor Group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at any time on or after the related Conduit Investment Termination Date, all payments to be made hereunder by the SPV or the Servicer to such Conduit Investor shall be made to the Agent’s account, for the benefit of the Managing Agent of such Conduit Investor, as such account shall have been notified to the SPV and the Servicer.</w:t>
      </w:r>
    </w:p>
    <w:p>
      <w:pPr>
        <w:spacing w:after="0" w:line="178"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Recovery of Net Investment</w:t>
      </w:r>
      <w:r>
        <w:rPr>
          <w:rFonts w:ascii="Times New Roman" w:cs="Times New Roman" w:eastAsia="Times New Roman" w:hAnsi="Times New Roman"/>
          <w:sz w:val="21"/>
          <w:szCs w:val="21"/>
          <w:color w:val="auto"/>
        </w:rPr>
        <w:t xml:space="preserve">. In the event that the aggregate of the Assignment Amounts paid by the Committed Investors pursuant to this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on any Assignment Date occurring on or after the Conduit Investment Termination Date is less than the Net Investment of the Conduit Investor on such Assignment Date, then to the extent Collections thereafter received by its Managing Agent hereunder in respect of the Net Investment exceed the aggregate of the unrecovered Assignment Amounts and Net Investment funded by such Committed Investors, such excess shall be remitted by such Managing Agent to the Conduit Investor (or to the applicable Administrator on its behalf) for the account of the Conduit Investor.</w:t>
      </w:r>
    </w:p>
    <w:p>
      <w:pPr>
        <w:spacing w:after="0" w:line="16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Extension of Commitment Termination Date/Non-Renewing Committed Investors</w:t>
      </w:r>
      <w:r>
        <w:rPr>
          <w:rFonts w:ascii="Times New Roman" w:cs="Times New Roman" w:eastAsia="Times New Roman" w:hAnsi="Times New Roman"/>
          <w:sz w:val="22"/>
          <w:szCs w:val="22"/>
          <w:color w:val="auto"/>
        </w:rPr>
        <w:t xml:space="preserve">. If at any time the SPV requests that the Committed Investors renew their Commitments hereunder and some but less than all the Committed Investors consent to such renewal, the SPV may arrange for an assignment, and such non-consenting Committed Investors shall agree to assign and to cause their related Conduit Investors (if any) to assign, to one or more financial institutions (and, if applicable, related commercial paper conduits) acceptable to the Agent, the Majority Investors and the SPV of all the rights and obligations hereunder of each such non-consenting Committed Investor and Conduit Investor (if applicable) in accordance with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Any such assignment shall become effective on the then-current Commitment Termination Date. Each Committed Investor which does not so consent to any renewal shall cooperate fully with the SPV in effectuating any such assignment. If none or less than all the Commitments of the non-renewing Committed Investors are so assigned as provided above, then the Commitment Termination Date shall not be renewed.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22" w:right="3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Representations and Warranties of the SPV and the Initial Servicer</w:t>
      </w:r>
      <w:r>
        <w:rPr>
          <w:rFonts w:ascii="Times New Roman" w:cs="Times New Roman" w:eastAsia="Times New Roman" w:hAnsi="Times New Roman"/>
          <w:sz w:val="22"/>
          <w:szCs w:val="22"/>
          <w:color w:val="auto"/>
        </w:rPr>
        <w:t>. Each of the SPV and the initial Servicer represents and warrants to the Agent, each Managing Agent, the Administrators, the Investors and the other Secured Parties, as to itself only, that, on the Closing Date, on each Investment Date and on each date of Reinvestment:</w:t>
      </w: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67" w:lineRule="auto"/>
        <w:tabs>
          <w:tab w:leader="none" w:pos="1941"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Corporate Existence and Power</w:t>
      </w:r>
      <w:r>
        <w:rPr>
          <w:rFonts w:ascii="Times New Roman" w:cs="Times New Roman" w:eastAsia="Times New Roman" w:hAnsi="Times New Roman"/>
          <w:sz w:val="21"/>
          <w:szCs w:val="21"/>
          <w:color w:val="auto"/>
        </w:rPr>
        <w:t>. It (i) is validly existing and in good standing under the laws of its jurisdiction of formation, (ii) with respect to the SPV, was duly organized, (iii) with respect to the Servicer, was duly organized,</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6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all limited liability company power and all licenses, authorizations, consents and approvals of all Official Bodies required to carry on its business in each jurisdiction in which its business is now and proposed to be conducted (except where the failure to have any such licenses, authorizations, consents and approvals would not individually or in the aggregate reasonably be expected to have a Material Adverse Effect) and (v) is duly qualified to do business and is in good standing in every other jurisdiction in which the nature of its business requires it to be so qualified, except where the failure to be so qualified or in good standing would not reasonably be expected to have a Material Adverse Effect.</w:t>
      </w:r>
    </w:p>
    <w:p>
      <w:pPr>
        <w:spacing w:after="0" w:line="20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No Contravention</w:t>
      </w:r>
      <w:r>
        <w:rPr>
          <w:rFonts w:ascii="Times New Roman" w:cs="Times New Roman" w:eastAsia="Times New Roman" w:hAnsi="Times New Roman"/>
          <w:sz w:val="22"/>
          <w:szCs w:val="22"/>
          <w:color w:val="auto"/>
        </w:rPr>
        <w:t>. The execution, delivery and performance by it of this Agreement and the other Transaction Documents to which it is a party (i) are within its limited liability company powers, (ii) have been duly authorized by all necessary limited liability company action, (iii) require no action by or in respect of, or filing with, any Official Body or official thereof (except as contemplated by this Agreement, all of which have been (or as of the Closing Date will have been) duly made and in full force and effect), (iv) do not contravene or constitute a default under (A) its organizational documents, (B) any Law applicable to it, (C) any contractual restriction binding on or affecting it or its property or (D) any order, writ, judgment, award, injunction, decree or other instrument binding on or affecting it or its property or (v) result in the creation or imposition of any Adverse Claim upon or with respect to its property (except as contemplated hereby).</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Each of this Agreement and the other Transaction Documents to which it is a party has been duly executed and delivered and constitutes its legal, valid and binding obligation, enforceable against it in accordance with its terms, subject to applicable bankruptcy, insolvency, moratorium or other similar laws affecting the rights of creditors generally (whether at law or equity).</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w:t>
      </w:r>
      <w:r>
        <w:rPr>
          <w:rFonts w:ascii="Times New Roman" w:cs="Times New Roman" w:eastAsia="Times New Roman" w:hAnsi="Times New Roman"/>
          <w:sz w:val="22"/>
          <w:szCs w:val="22"/>
          <w:color w:val="auto"/>
        </w:rPr>
        <w:t xml:space="preserve">. In the case of the SPV, the representations and warranties set forth on </w:t>
      </w:r>
      <w:r>
        <w:rPr>
          <w:rFonts w:ascii="Times New Roman" w:cs="Times New Roman" w:eastAsia="Times New Roman" w:hAnsi="Times New Roman"/>
          <w:sz w:val="22"/>
          <w:szCs w:val="22"/>
          <w:u w:val="single" w:color="auto"/>
          <w:color w:val="auto"/>
        </w:rPr>
        <w:t>Schedule 4.1(d)</w:t>
      </w:r>
      <w:r>
        <w:rPr>
          <w:rFonts w:ascii="Times New Roman" w:cs="Times New Roman" w:eastAsia="Times New Roman" w:hAnsi="Times New Roman"/>
          <w:sz w:val="22"/>
          <w:szCs w:val="22"/>
          <w:color w:val="auto"/>
        </w:rPr>
        <w:t xml:space="preserve"> hereto</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true and correct.</w:t>
      </w:r>
    </w:p>
    <w:p>
      <w:pPr>
        <w:spacing w:after="0" w:line="19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Information</w:t>
      </w:r>
      <w:r>
        <w:rPr>
          <w:rFonts w:ascii="Times New Roman" w:cs="Times New Roman" w:eastAsia="Times New Roman" w:hAnsi="Times New Roman"/>
          <w:sz w:val="22"/>
          <w:szCs w:val="22"/>
          <w:color w:val="auto"/>
        </w:rPr>
        <w:t>. All factual information (taken as a whole) heretofore or contemporaneously furnished by or on behalf of the SPV, the Servicer, each Originator or Greif, Inc. or any of their Subsidiaries or Affiliates in writing to any Investor,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18" w:right="339" w:bottom="1440" w:gutter="0" w:footer="0" w:header="0"/>
        </w:sectPr>
      </w:pPr>
    </w:p>
    <w:bookmarkStart w:id="98" w:name="page99"/>
    <w:bookmarkEnd w:id="98"/>
    <w:p>
      <w:pPr>
        <w:jc w:val="both"/>
        <w:spacing w:after="0" w:line="248" w:lineRule="auto"/>
        <w:rPr>
          <w:sz w:val="20"/>
          <w:szCs w:val="20"/>
          <w:color w:val="auto"/>
        </w:rPr>
      </w:pPr>
      <w:r>
        <w:rPr>
          <w:rFonts w:ascii="Times New Roman" w:cs="Times New Roman" w:eastAsia="Times New Roman" w:hAnsi="Times New Roman"/>
          <w:sz w:val="22"/>
          <w:szCs w:val="22"/>
          <w:color w:val="auto"/>
        </w:rPr>
        <w:t>Managing Agent or the Agent (including, without limitation, all information contained in the Transaction Documents) for purposes of or in connection with this Agreement or any transaction contemplated herein is, and all other such factual information (taken as a whole) hereafter furnished by or on behalf of the SPV, the Servicer, each Originator or Greif, Inc. or any of their Subsidiaries or Affiliates in writing to any Investor, Managing Agent or the Agent for purposes of or in connection with this Agreement or any transaction contemplated herein, when taken as a whole, do not contain as of the date furnished any untrue statement of material fact or omit to state a material fact necessary in order to make the statements contained herein or therein, in light of the circumstances under which they were made, not misleading. The SPV, the Servicer, each Originator and Greif, Inc. and any of their Subsidiaries or Affiliates have disclosed to each Investor, each Managing Agent and the Agent (a) all agreements, instruments and corporate or other restrictions to which SPV, the Servicer, each Originator or Greif, Inc. or any of their Subsidiaries or Affiliates is subject, and (b) all other matters known to any of them, that individually or in the aggregate with respect to (a) and (b) above, would reasonably be expected to result in a Material Adverse Effect. The information included in any Beneficial Ownership Certification is true and correct in all respects.</w:t>
      </w:r>
    </w:p>
    <w:p>
      <w:pPr>
        <w:spacing w:after="0" w:line="184" w:lineRule="exact"/>
        <w:rPr>
          <w:sz w:val="20"/>
          <w:szCs w:val="20"/>
          <w:color w:val="auto"/>
        </w:rPr>
      </w:pPr>
    </w:p>
    <w:p>
      <w:pPr>
        <w:ind w:left="1960" w:hanging="656"/>
        <w:spacing w:after="0"/>
        <w:tabs>
          <w:tab w:leader="none" w:pos="1960"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Status</w:t>
      </w:r>
      <w:r>
        <w:rPr>
          <w:rFonts w:ascii="Times New Roman" w:cs="Times New Roman" w:eastAsia="Times New Roman" w:hAnsi="Times New Roman"/>
          <w:sz w:val="22"/>
          <w:szCs w:val="22"/>
          <w:color w:val="auto"/>
        </w:rPr>
        <w:t>. It has (i) timely filed all material tax returns (federal, state and local) required to be filed and</w:t>
      </w:r>
    </w:p>
    <w:p>
      <w:pPr>
        <w:spacing w:after="0" w:line="27" w:lineRule="exact"/>
        <w:rPr>
          <w:rFonts w:ascii="Times New Roman" w:cs="Times New Roman" w:eastAsia="Times New Roman" w:hAnsi="Times New Roman"/>
          <w:sz w:val="22"/>
          <w:szCs w:val="22"/>
          <w:color w:val="auto"/>
        </w:rPr>
      </w:pPr>
    </w:p>
    <w:p>
      <w:pPr>
        <w:jc w:val="both"/>
        <w:ind w:right="20" w:firstLine="8"/>
        <w:spacing w:after="0" w:line="249" w:lineRule="auto"/>
        <w:tabs>
          <w:tab w:leader="none" w:pos="32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paid or made adequate provision for the payment of all taxes, assessments and other governmental charges, except (a) taxes, assessments and other governmental charges that are being contested in good faith by appropriate proceedings and for which adequate reserves have been set aside on the books and records, or (b) to the extent that the failure to do so would not reasonably be expected to result in a Material Adverse Effect.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Suits</w:t>
      </w:r>
      <w:r>
        <w:rPr>
          <w:rFonts w:ascii="Times New Roman" w:cs="Times New Roman" w:eastAsia="Times New Roman" w:hAnsi="Times New Roman"/>
          <w:sz w:val="22"/>
          <w:szCs w:val="22"/>
          <w:color w:val="auto"/>
        </w:rPr>
        <w:t>. It is not in violation of any order of any Official Body. Except as set forth in Schedule 4.1(g) to the Disclosure Letter, there are no actions, suits or proceedings pending or, to the best knowledge of the SPV, threatened (i) against the SPV, the Servicer, any Originator or Greif, Inc. or any of their Subsidiaries or Affiliates challenging the validity or enforceability of any material provision of any Transaction Document, or (ii) that would reasonably be expected to have a Material Adverse Effect.</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In the case of the SPV, no proceeds of any Investment or Reinvestment will be used by it</w:t>
      </w:r>
    </w:p>
    <w:p>
      <w:pPr>
        <w:spacing w:after="0" w:line="39" w:lineRule="exact"/>
        <w:rPr>
          <w:rFonts w:ascii="Times New Roman" w:cs="Times New Roman" w:eastAsia="Times New Roman" w:hAnsi="Times New Roman"/>
          <w:sz w:val="21"/>
          <w:szCs w:val="21"/>
          <w:color w:val="auto"/>
        </w:rPr>
      </w:pPr>
    </w:p>
    <w:p>
      <w:pPr>
        <w:jc w:val="both"/>
        <w:ind w:firstLine="8"/>
        <w:spacing w:after="0" w:line="252" w:lineRule="auto"/>
        <w:tabs>
          <w:tab w:leader="none" w:pos="26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acquire any security in any transaction which is subject to Section 13 or 14 of the Securities Exchange Act of 1934, (ii) to acquire any equity security of a class which is registered pursuant to Section 12 of such act or (iii) for any other purpose that violates applicable Law, including Regulation U of the Federal Reserve Board.</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Place of Business; Chief Executive Office; Location of Records</w:t>
      </w:r>
      <w:r>
        <w:rPr>
          <w:rFonts w:ascii="Times New Roman" w:cs="Times New Roman" w:eastAsia="Times New Roman" w:hAnsi="Times New Roman"/>
          <w:sz w:val="22"/>
          <w:szCs w:val="22"/>
          <w:color w:val="auto"/>
        </w:rPr>
        <w:t xml:space="preserve">. Its principal place of business, chief executive office and the offices where it keeps all its Records, are located at the address(es) described on Schedule 4.1(i) to the Disclosure Letter or such other locations notified to each Managing Agent in accordance with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in jurisdictions where all action required by </w:t>
      </w:r>
      <w:r>
        <w:rPr>
          <w:rFonts w:ascii="Times New Roman" w:cs="Times New Roman" w:eastAsia="Times New Roman" w:hAnsi="Times New Roman"/>
          <w:sz w:val="22"/>
          <w:szCs w:val="22"/>
          <w:u w:val="single" w:color="auto"/>
          <w:color w:val="auto"/>
        </w:rPr>
        <w:t>Section 7.7</w:t>
      </w:r>
      <w:r>
        <w:rPr>
          <w:rFonts w:ascii="Times New Roman" w:cs="Times New Roman" w:eastAsia="Times New Roman" w:hAnsi="Times New Roman"/>
          <w:sz w:val="22"/>
          <w:szCs w:val="22"/>
          <w:color w:val="auto"/>
        </w:rPr>
        <w:t xml:space="preserve"> has been taken and completed.</w:t>
      </w:r>
    </w:p>
    <w:p>
      <w:pPr>
        <w:spacing w:after="0" w:line="19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Subsidiaries; Tradenames, Etc.</w:t>
      </w:r>
      <w:r>
        <w:rPr>
          <w:rFonts w:ascii="Times New Roman" w:cs="Times New Roman" w:eastAsia="Times New Roman" w:hAnsi="Times New Roman"/>
          <w:sz w:val="21"/>
          <w:szCs w:val="21"/>
          <w:color w:val="auto"/>
        </w:rPr>
        <w:t xml:space="preserve"> In the case of the SPV, as of the Closing Date: (i) it has no Subsidiaries; and</w:t>
      </w:r>
    </w:p>
    <w:p>
      <w:pPr>
        <w:spacing w:after="0" w:line="39" w:lineRule="exact"/>
        <w:rPr>
          <w:rFonts w:ascii="Times New Roman" w:cs="Times New Roman" w:eastAsia="Times New Roman" w:hAnsi="Times New Roman"/>
          <w:sz w:val="21"/>
          <w:szCs w:val="21"/>
          <w:color w:val="auto"/>
        </w:rPr>
      </w:pPr>
    </w:p>
    <w:p>
      <w:pPr>
        <w:ind w:firstLine="8"/>
        <w:spacing w:after="0" w:line="248" w:lineRule="auto"/>
        <w:tabs>
          <w:tab w:leader="none" w:pos="32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 within the last five (5) years, operated under any tradename other than its legal name, and, within the last five (5) years, it has not changed 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22" w:right="339" w:bottom="1440" w:gutter="0" w:footer="0" w:header="0"/>
        </w:sectPr>
      </w:pPr>
    </w:p>
    <w:bookmarkStart w:id="99" w:name="page100"/>
    <w:bookmarkEnd w:id="99"/>
    <w:p>
      <w:pPr>
        <w:spacing w:after="0" w:line="271" w:lineRule="auto"/>
        <w:rPr>
          <w:sz w:val="20"/>
          <w:szCs w:val="20"/>
          <w:color w:val="auto"/>
        </w:rPr>
      </w:pPr>
      <w:r>
        <w:rPr>
          <w:rFonts w:ascii="Times New Roman" w:cs="Times New Roman" w:eastAsia="Times New Roman" w:hAnsi="Times New Roman"/>
          <w:sz w:val="22"/>
          <w:szCs w:val="22"/>
          <w:color w:val="auto"/>
        </w:rPr>
        <w:t>name, merged with or into or consolidated with any other Person or been the subject of any proceeding under the Bankruptcy Code. Schedule 4.1(j) to the Disclosure Letter lists the correct Federal Employer Identification Number of the SPV.</w:t>
      </w:r>
    </w:p>
    <w:p>
      <w:pPr>
        <w:spacing w:after="0" w:line="158" w:lineRule="exact"/>
        <w:rPr>
          <w:sz w:val="20"/>
          <w:szCs w:val="20"/>
          <w:color w:val="auto"/>
        </w:rPr>
      </w:pPr>
    </w:p>
    <w:p>
      <w:pPr>
        <w:jc w:val="both"/>
        <w:ind w:firstLine="1304"/>
        <w:spacing w:after="0" w:line="256" w:lineRule="auto"/>
        <w:tabs>
          <w:tab w:leader="none" w:pos="19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Title</w:t>
      </w:r>
      <w:r>
        <w:rPr>
          <w:rFonts w:ascii="Times New Roman" w:cs="Times New Roman" w:eastAsia="Times New Roman" w:hAnsi="Times New Roman"/>
          <w:sz w:val="22"/>
          <w:szCs w:val="22"/>
          <w:color w:val="auto"/>
        </w:rPr>
        <w:t>. In the case of the SPV, upon each Investment and Reinvestment, the Agent shall acquire a valid and enforceable perfected first priority ownership interest or a first priority perfected security interest in each Receivable and all other Affected Assets that exist on the date of such Investment or Reinvestment, with respect thereto, free and clear of any Adverse Claim.</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2"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Receivables</w:t>
      </w:r>
      <w:r>
        <w:rPr>
          <w:rFonts w:ascii="Times New Roman" w:cs="Times New Roman" w:eastAsia="Times New Roman" w:hAnsi="Times New Roman"/>
          <w:sz w:val="22"/>
          <w:szCs w:val="22"/>
          <w:color w:val="auto"/>
        </w:rPr>
        <w:t>. Each Receivable (i) represented by it to be an Eligible Receivable in any Servicer Report or (ii) included in the calculation of the Net Pool Balance in such Servicer Report in fact satisfies at the time of such calculation the definition of “Eligible Receivable” set forth herein. On the date of the applicable initial Investment therein by the Investors hereunder, it has no knowledge of any fact (including any defaults by the Obligor thereunder on any other Receivable) that would cause it or should have caused it to expect any payments on such Eligible Receivable not to be paid in full when due. Substantially all of the Receivables arise from the sale of goods or services.</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Coverage Requirement</w:t>
      </w:r>
      <w:r>
        <w:rPr>
          <w:rFonts w:ascii="Times New Roman" w:cs="Times New Roman" w:eastAsia="Times New Roman" w:hAnsi="Times New Roman"/>
          <w:sz w:val="22"/>
          <w:szCs w:val="22"/>
          <w:color w:val="auto"/>
        </w:rPr>
        <w:t xml:space="preserve">. In the case of the SPV, the sum of the Net Investment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Required Reserves does not exceed the Net Pool Balance.</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It has at all times complied in all material respects with the Credit and Collection Policy with regard to each Eligible Receivable.</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On and since the Closing Date, there has been no Material Adverse Effect.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Termination Event or Potential Termination Event</w:t>
      </w:r>
      <w:r>
        <w:rPr>
          <w:rFonts w:ascii="Times New Roman" w:cs="Times New Roman" w:eastAsia="Times New Roman" w:hAnsi="Times New Roman"/>
          <w:sz w:val="22"/>
          <w:szCs w:val="22"/>
          <w:color w:val="auto"/>
        </w:rPr>
        <w:t>. In the case of the SPV, no event has occurred and is continuing and no condition exists which constitutes a Termination Event or a Potential Termination Event.</w:t>
      </w:r>
    </w:p>
    <w:p>
      <w:pPr>
        <w:spacing w:after="0" w:line="17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an Investment Company or Covered Fund</w:t>
      </w:r>
      <w:r>
        <w:rPr>
          <w:rFonts w:ascii="Times New Roman" w:cs="Times New Roman" w:eastAsia="Times New Roman" w:hAnsi="Times New Roman"/>
          <w:sz w:val="22"/>
          <w:szCs w:val="22"/>
          <w:color w:val="auto"/>
        </w:rPr>
        <w:t>. It is (i) not a “covered fund” under the Volcker Rule and</w:t>
      </w:r>
    </w:p>
    <w:p>
      <w:pPr>
        <w:spacing w:after="0" w:line="27" w:lineRule="exact"/>
        <w:rPr>
          <w:rFonts w:ascii="Times New Roman" w:cs="Times New Roman" w:eastAsia="Times New Roman" w:hAnsi="Times New Roman"/>
          <w:sz w:val="22"/>
          <w:szCs w:val="22"/>
          <w:color w:val="auto"/>
        </w:rPr>
      </w:pPr>
    </w:p>
    <w:p>
      <w:pPr>
        <w:jc w:val="both"/>
        <w:ind w:firstLine="8"/>
        <w:spacing w:after="0" w:line="245" w:lineRule="auto"/>
        <w:tabs>
          <w:tab w:leader="none" w:pos="31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and is not controlled by, an “investment company” within the meaning of the Investment Company Act of 1940, or is exempt from all provisions of such act. In determining that the SPV is not an investment company, the SPV is relying on the exemption from the definition of “investment company” set forth in Section 3(c)(5) of the Investment Company Act of 1940, as amended.</w:t>
      </w:r>
    </w:p>
    <w:p>
      <w:pPr>
        <w:spacing w:after="0" w:line="19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Except as, in the aggregate, would not reasonably be expected to have a Material Adverse Effect, no steps have been taken by any Person to terminate any Pension Plan the assets of which are not sufficient to satisfy all of its benefit liabilities (as determined under Title IV of ERISA), no contribution failure has occurred or is expected to occur with respect to any Pension Plan sufficient to give rise to a lien under Section 303(k) of ERISA, and each Pension Plan has been administered in all material respects in compliance with its terms and applicable provision of ERISA and the Code.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22" w:right="339" w:bottom="1440" w:gutter="0" w:footer="0" w:header="0"/>
        </w:sectPr>
      </w:pPr>
    </w:p>
    <w:bookmarkStart w:id="100" w:name="page101"/>
    <w:bookmarkEnd w:id="100"/>
    <w:p>
      <w:pPr>
        <w:jc w:val="both"/>
        <w:ind w:left="-220" w:firstLine="1304"/>
        <w:spacing w:after="0" w:line="250" w:lineRule="auto"/>
        <w:tabs>
          <w:tab w:leader="none" w:pos="172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xml:space="preserve">. The names and addresses of all the Blocked Account Banks, together with the account numbers of the Blocked Accounts and the Collection Account at such Blocked Account Banks, are specified in Schedule 4.1(s) to the Disclosure Letter (or at such other Blocked Account Banks and/or with such other Blocked Accounts as have been notified to each Managing Agent and for which Blocked Account Agreements have been executed in accordance with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and delivered to the Servicer and the Agent). All Blocked Accounts and the Collection Account are subject to Blocked Account Agreements. All Obligors have been instructed to make payment to a Blocked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cash or cash proceeds other than Collections on Receivables are deposited into a Blocked Account or the Collection Account (the “</w:t>
      </w:r>
      <w:r>
        <w:rPr>
          <w:rFonts w:ascii="Times New Roman" w:cs="Times New Roman" w:eastAsia="Times New Roman" w:hAnsi="Times New Roman"/>
          <w:sz w:val="22"/>
          <w:szCs w:val="22"/>
          <w:u w:val="single" w:color="auto"/>
          <w:color w:val="auto"/>
        </w:rPr>
        <w:t>Excluded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Amounts</w:t>
      </w:r>
      <w:r>
        <w:rPr>
          <w:rFonts w:ascii="Times New Roman" w:cs="Times New Roman" w:eastAsia="Times New Roman" w:hAnsi="Times New Roman"/>
          <w:sz w:val="22"/>
          <w:szCs w:val="22"/>
          <w:color w:val="auto"/>
        </w:rPr>
        <w:t>”), such Excluded Amounts shall not constitute Related Security, and the Agent shall have no right, title or interest in any such Excluded Amounts.</w:t>
      </w:r>
    </w:p>
    <w:p>
      <w:pPr>
        <w:spacing w:after="0" w:line="179" w:lineRule="exact"/>
        <w:rPr>
          <w:rFonts w:ascii="Times New Roman" w:cs="Times New Roman" w:eastAsia="Times New Roman" w:hAnsi="Times New Roman"/>
          <w:sz w:val="22"/>
          <w:szCs w:val="22"/>
          <w:color w:val="auto"/>
        </w:rPr>
      </w:pPr>
    </w:p>
    <w:p>
      <w:pPr>
        <w:ind w:left="-220" w:firstLine="1304"/>
        <w:spacing w:after="0" w:line="271" w:lineRule="auto"/>
        <w:tabs>
          <w:tab w:leader="none" w:pos="171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Bulk Sales</w:t>
      </w:r>
      <w:r>
        <w:rPr>
          <w:rFonts w:ascii="Times New Roman" w:cs="Times New Roman" w:eastAsia="Times New Roman" w:hAnsi="Times New Roman"/>
          <w:sz w:val="22"/>
          <w:szCs w:val="22"/>
          <w:color w:val="auto"/>
        </w:rPr>
        <w:t>. In the case of the SPV, no transaction contemplated hereby or by the First Tier Agreement requires compliance with any bulk sales act or similar law.</w:t>
      </w:r>
    </w:p>
    <w:p>
      <w:pPr>
        <w:spacing w:after="0" w:line="157" w:lineRule="exact"/>
        <w:rPr>
          <w:rFonts w:ascii="Times New Roman" w:cs="Times New Roman" w:eastAsia="Times New Roman" w:hAnsi="Times New Roman"/>
          <w:sz w:val="22"/>
          <w:szCs w:val="22"/>
          <w:color w:val="auto"/>
        </w:rPr>
      </w:pPr>
    </w:p>
    <w:p>
      <w:pPr>
        <w:jc w:val="both"/>
        <w:ind w:left="-220" w:firstLine="1304"/>
        <w:spacing w:after="0" w:line="257" w:lineRule="auto"/>
        <w:tabs>
          <w:tab w:leader="none" w:pos="171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Transfers Under First Tier Agreement</w:t>
      </w:r>
      <w:r>
        <w:rPr>
          <w:rFonts w:ascii="Times New Roman" w:cs="Times New Roman" w:eastAsia="Times New Roman" w:hAnsi="Times New Roman"/>
          <w:sz w:val="22"/>
          <w:szCs w:val="22"/>
          <w:color w:val="auto"/>
        </w:rPr>
        <w:t>. In the case of the SPV, each Receivable has been purchased or otherwise acquired by it from the applicable Originator pursuant to, and in accordance with, the terms of the First Tier Agreement.</w:t>
      </w:r>
    </w:p>
    <w:p>
      <w:pPr>
        <w:spacing w:after="0" w:line="186" w:lineRule="exact"/>
        <w:rPr>
          <w:rFonts w:ascii="Times New Roman" w:cs="Times New Roman" w:eastAsia="Times New Roman" w:hAnsi="Times New Roman"/>
          <w:sz w:val="22"/>
          <w:szCs w:val="22"/>
          <w:color w:val="auto"/>
        </w:rPr>
      </w:pPr>
    </w:p>
    <w:p>
      <w:pPr>
        <w:jc w:val="both"/>
        <w:ind w:left="-220" w:firstLine="1304"/>
        <w:spacing w:after="0" w:line="252" w:lineRule="auto"/>
        <w:tabs>
          <w:tab w:leader="none" w:pos="171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Preference; Voidability</w:t>
      </w:r>
      <w:r>
        <w:rPr>
          <w:rFonts w:ascii="Times New Roman" w:cs="Times New Roman" w:eastAsia="Times New Roman" w:hAnsi="Times New Roman"/>
          <w:sz w:val="22"/>
          <w:szCs w:val="22"/>
          <w:color w:val="auto"/>
        </w:rPr>
        <w:t>. In the case of the SPV, it shall have given reasonably equivalent value to each Originator in consideration for the transfer to it of the Affected Assets from such Originator, and each such transfer shall not have been made for or on account of an antecedent debt owed by any Originator to it and no such transfer is or may be voidable under any section of the Bankruptcy Code.</w:t>
      </w:r>
    </w:p>
    <w:p>
      <w:pPr>
        <w:spacing w:after="0" w:line="179" w:lineRule="exact"/>
        <w:rPr>
          <w:rFonts w:ascii="Times New Roman" w:cs="Times New Roman" w:eastAsia="Times New Roman" w:hAnsi="Times New Roman"/>
          <w:sz w:val="22"/>
          <w:szCs w:val="22"/>
          <w:color w:val="auto"/>
        </w:rPr>
      </w:pPr>
    </w:p>
    <w:p>
      <w:pPr>
        <w:ind w:left="1720" w:hanging="636"/>
        <w:spacing w:after="0"/>
        <w:tabs>
          <w:tab w:leader="none" w:pos="17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Applicable Laws; Licenses, etc.</w:t>
      </w:r>
    </w:p>
    <w:p>
      <w:pPr>
        <w:spacing w:after="0" w:line="233" w:lineRule="exact"/>
        <w:rPr>
          <w:rFonts w:ascii="Times New Roman" w:cs="Times New Roman" w:eastAsia="Times New Roman" w:hAnsi="Times New Roman"/>
          <w:sz w:val="22"/>
          <w:szCs w:val="22"/>
          <w:color w:val="auto"/>
        </w:rPr>
      </w:pPr>
    </w:p>
    <w:p>
      <w:pPr>
        <w:jc w:val="both"/>
        <w:ind w:left="1080" w:firstLine="652"/>
        <w:spacing w:after="0" w:line="250" w:lineRule="auto"/>
        <w:tabs>
          <w:tab w:leader="none" w:pos="236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SPV and Servicer is in compliance in all material respects with the requirements of all applicable laws, rules, regulations, and orders of all Official Bodies (including the Federal Consumer Credit Protection Act, as amended, Regulation Z of the Board of Governors of the Federal Reserve System, as amended, laws, rules and regulations relating to usury, truth in lending, fair credit billing, fair credit reporting, equal credit opportunity, fair debt collection practices and privacy and all other consumer laws, rules and regulations applicable to the Receivables), a breach of any of which, individually or in the aggregate, would be reasonably likely to have a Material Adverse Effect; and</w:t>
      </w:r>
    </w:p>
    <w:p>
      <w:pPr>
        <w:spacing w:after="0" w:line="180" w:lineRule="exact"/>
        <w:rPr>
          <w:rFonts w:ascii="Times New Roman" w:cs="Times New Roman" w:eastAsia="Times New Roman" w:hAnsi="Times New Roman"/>
          <w:sz w:val="22"/>
          <w:szCs w:val="22"/>
          <w:color w:val="auto"/>
        </w:rPr>
      </w:pPr>
    </w:p>
    <w:p>
      <w:pPr>
        <w:jc w:val="both"/>
        <w:ind w:left="1080" w:firstLine="652"/>
        <w:spacing w:after="0" w:line="253" w:lineRule="auto"/>
        <w:tabs>
          <w:tab w:leader="none" w:pos="237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not failed to obtain any licenses, permits, franchises or other governmental authorizations necessary to the ownership of its properties or to the conduct of its business (including any registration requirements or other actions as may be necessary in any applicable jurisdiction in connection with the ownership of the Contracts or the Receivables and other related assets), which violation or failure to obtain would be reasonably likely to have a Material Adverse Effect.</w:t>
      </w:r>
    </w:p>
    <w:p>
      <w:pPr>
        <w:spacing w:after="0" w:line="178" w:lineRule="exact"/>
        <w:rPr>
          <w:rFonts w:ascii="Times New Roman" w:cs="Times New Roman" w:eastAsia="Times New Roman" w:hAnsi="Times New Roman"/>
          <w:sz w:val="22"/>
          <w:szCs w:val="22"/>
          <w:color w:val="auto"/>
        </w:rPr>
      </w:pPr>
    </w:p>
    <w:p>
      <w:pPr>
        <w:ind w:left="-220" w:firstLine="1304"/>
        <w:spacing w:after="0" w:line="271" w:lineRule="auto"/>
        <w:tabs>
          <w:tab w:leader="none" w:pos="171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Nonconsolidation</w:t>
      </w:r>
      <w:r>
        <w:rPr>
          <w:rFonts w:ascii="Times New Roman" w:cs="Times New Roman" w:eastAsia="Times New Roman" w:hAnsi="Times New Roman"/>
          <w:sz w:val="22"/>
          <w:szCs w:val="22"/>
          <w:color w:val="auto"/>
        </w:rPr>
        <w:t>. The SPV is operated in such a manner that the separate corporate existence of the SPV, on the one hand, and the Servicer and each Originator or 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020"/>
          </w:cols>
          <w:pgMar w:left="540" w:top="1422"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Affiliate thereof, on the other, would not be disregarded in the event of the bankruptcy or insolvency of the Servicer,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Originator or any Affiliate thereof and, without limiting the generality of the foregoing:</w:t>
      </w:r>
    </w:p>
    <w:p>
      <w:pPr>
        <w:spacing w:after="0" w:line="196" w:lineRule="exact"/>
        <w:rPr>
          <w:sz w:val="20"/>
          <w:szCs w:val="20"/>
          <w:color w:val="auto"/>
        </w:rPr>
      </w:pPr>
    </w:p>
    <w:p>
      <w:pPr>
        <w:jc w:val="both"/>
        <w:ind w:left="1300" w:firstLine="652"/>
        <w:spacing w:after="0" w:line="256" w:lineRule="auto"/>
        <w:tabs>
          <w:tab w:leader="none" w:pos="258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is a limited purpose entity whose activities are restricted in its organizational documents to activities related to purchasing or otherwise acquiring receivables (including the Receivables) and related assets and rights and conducting any related or incidental business or activities it deems necessary or appropriate to carry out its primary purpose, including entering into the Transaction Documents;</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59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has not engaged, and does not presently engage, in any activity other than those activities expressly permitted hereunder and under the other Transaction Documents, nor, after the execution of the Rabobank Assignment, will the SPV be party to any agreement other than this Agreement, the other Transaction Documents to which it is a party and a services agreement with its independent manager, and with the prior written consent of the Agent, any other agreement necessary to carry out more effectively the provisions and purposes hereof or thereof;</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9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SPV maintains its own deposit account or accounts, separate from those of any of its Affiliates, with commercial banking institutions, (B) the funds of the SPV are not and have not been diverted to any other Person or for other than the corporate use of the SPV and (C) except as may be expressly permitted by this Agreement, the funds of the SPV are not and have not been commingled with those of any of its Affiliates;</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8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SPV contracts or does business with vendors or service providers where the goods and services provided are partially for the benefit of any other Person, the costs incurred in so doing are fairly allocated to or among the SPV and such entities for whose benefit the goods and services are provided, and each of the SPV and each such entity bears its fair share of such costs; and all material transactions between the SPV and any of its Affiliates shall be on an arm’s-length basis;</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9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maintains a principal executive and administrative office through which its business is conducted and a telephone number and stationery through which all business correspondence and communication are conducted, in each case separate from those of any Originator and its Affiliates;</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8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conducts its affairs strictly in accordance with its organizational documents and observes all necessary, appropriate and customary limited liability company formalities, including (A) holding all regular and special directors’/managers’ meetings appropriate to authorize all limited liability company action, (B) keeping separate and accurate minutes of such meetings, (C) passing all resolutions or consents necessary to authorize actions taken or to be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102" w:name="page103"/>
    <w:bookmarkEnd w:id="102"/>
    <w:p>
      <w:pPr>
        <w:ind w:left="1080" w:right="20"/>
        <w:spacing w:after="0" w:line="271" w:lineRule="auto"/>
        <w:rPr>
          <w:sz w:val="20"/>
          <w:szCs w:val="20"/>
          <w:color w:val="auto"/>
        </w:rPr>
      </w:pPr>
      <w:r>
        <w:rPr>
          <w:rFonts w:ascii="Times New Roman" w:cs="Times New Roman" w:eastAsia="Times New Roman" w:hAnsi="Times New Roman"/>
          <w:sz w:val="22"/>
          <w:szCs w:val="22"/>
          <w:color w:val="auto"/>
        </w:rPr>
        <w:t>taken, and (D) maintaining accurate and separate books, records and accounts, including intercompany transaction accounts;</w:t>
      </w:r>
    </w:p>
    <w:p>
      <w:pPr>
        <w:spacing w:after="0" w:line="158" w:lineRule="exact"/>
        <w:rPr>
          <w:sz w:val="20"/>
          <w:szCs w:val="20"/>
          <w:color w:val="auto"/>
        </w:rPr>
      </w:pPr>
    </w:p>
    <w:p>
      <w:pPr>
        <w:jc w:val="both"/>
        <w:ind w:left="1080" w:firstLine="652"/>
        <w:spacing w:after="0" w:line="251" w:lineRule="auto"/>
        <w:tabs>
          <w:tab w:leader="none" w:pos="237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its business and daily operations are independently made by the SPV (although the officer making any particular decision may also be an employee, officer or director of an Affiliate of the SPV) and are not dictated by any Affiliate of the SPV (it being understood that the Servicer, which is an Affiliate of the SPV, will undertake and perform all of the operations, functions and obligations of it set forth herein and it may appoint Sub-Servicers, which may be Affiliates of the SPV, to perform certain of such operations, functions and obligations);</w:t>
      </w:r>
    </w:p>
    <w:p>
      <w:pPr>
        <w:spacing w:after="0" w:line="194" w:lineRule="exact"/>
        <w:rPr>
          <w:rFonts w:ascii="Times New Roman" w:cs="Times New Roman" w:eastAsia="Times New Roman" w:hAnsi="Times New Roman"/>
          <w:sz w:val="22"/>
          <w:szCs w:val="22"/>
          <w:color w:val="auto"/>
        </w:rPr>
      </w:pPr>
    </w:p>
    <w:p>
      <w:pPr>
        <w:ind w:left="1080" w:firstLine="652"/>
        <w:spacing w:after="0" w:line="271" w:lineRule="auto"/>
        <w:tabs>
          <w:tab w:leader="none" w:pos="237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acts solely in its own name and through its own authorized officers and agents, and no Affiliate of the SPV shall be appointed to act as its agent, except as expressly contemplated by this Agreement;</w:t>
      </w:r>
    </w:p>
    <w:p>
      <w:pPr>
        <w:spacing w:after="0" w:line="157" w:lineRule="exact"/>
        <w:rPr>
          <w:rFonts w:ascii="Times New Roman" w:cs="Times New Roman" w:eastAsia="Times New Roman" w:hAnsi="Times New Roman"/>
          <w:sz w:val="22"/>
          <w:szCs w:val="22"/>
          <w:color w:val="auto"/>
        </w:rPr>
      </w:pPr>
    </w:p>
    <w:p>
      <w:pPr>
        <w:jc w:val="both"/>
        <w:ind w:left="1080" w:firstLine="652"/>
        <w:spacing w:after="0" w:line="252" w:lineRule="auto"/>
        <w:tabs>
          <w:tab w:leader="none" w:pos="23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Affiliate of the SPV advances funds to the SPV, other than as is otherwise provided herein or in the other Transaction Documents, and no Affiliate of the SPV otherwise supplies funds to, or guaranties debts of, the SPV;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Affiliate of the SPV may provide funds to the SPV in connection with the capitalization of the SPV;</w:t>
      </w:r>
    </w:p>
    <w:p>
      <w:pPr>
        <w:spacing w:after="0" w:line="192" w:lineRule="exact"/>
        <w:rPr>
          <w:rFonts w:ascii="Times New Roman" w:cs="Times New Roman" w:eastAsia="Times New Roman" w:hAnsi="Times New Roman"/>
          <w:sz w:val="22"/>
          <w:szCs w:val="22"/>
          <w:color w:val="auto"/>
        </w:rPr>
      </w:pPr>
    </w:p>
    <w:p>
      <w:pPr>
        <w:ind w:left="1080" w:firstLine="652"/>
        <w:spacing w:after="0" w:line="271" w:lineRule="auto"/>
        <w:tabs>
          <w:tab w:leader="none" w:pos="237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organizational expenses and as expressly provided herein, the SPV pays all expenses, Indebtedness and other obligations incurred by it;</w:t>
      </w:r>
    </w:p>
    <w:p>
      <w:pPr>
        <w:spacing w:after="0" w:line="157" w:lineRule="exact"/>
        <w:rPr>
          <w:rFonts w:ascii="Times New Roman" w:cs="Times New Roman" w:eastAsia="Times New Roman" w:hAnsi="Times New Roman"/>
          <w:sz w:val="22"/>
          <w:szCs w:val="22"/>
          <w:color w:val="auto"/>
        </w:rPr>
      </w:pPr>
    </w:p>
    <w:p>
      <w:pPr>
        <w:ind w:left="2360" w:hanging="628"/>
        <w:spacing w:after="0"/>
        <w:tabs>
          <w:tab w:leader="none" w:pos="236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SPV does not guarantee, and is not otherwise liable, with respect to any obligation of any of its</w:t>
      </w:r>
    </w:p>
    <w:p>
      <w:pPr>
        <w:spacing w:after="0" w:line="39" w:lineRule="exact"/>
        <w:rPr>
          <w:rFonts w:ascii="Times New Roman" w:cs="Times New Roman" w:eastAsia="Times New Roman" w:hAnsi="Times New Roman"/>
          <w:sz w:val="21"/>
          <w:szCs w:val="21"/>
          <w:color w:val="auto"/>
        </w:rPr>
      </w:pPr>
    </w:p>
    <w:p>
      <w:pPr>
        <w:ind w:left="10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Affiliates;</w:t>
      </w:r>
    </w:p>
    <w:p>
      <w:pPr>
        <w:spacing w:after="0" w:line="195" w:lineRule="exact"/>
        <w:rPr>
          <w:rFonts w:ascii="Times New Roman" w:cs="Times New Roman" w:eastAsia="Times New Roman" w:hAnsi="Times New Roman"/>
          <w:sz w:val="21"/>
          <w:szCs w:val="21"/>
          <w:color w:val="auto"/>
        </w:rPr>
      </w:pPr>
    </w:p>
    <w:p>
      <w:pPr>
        <w:ind w:left="1080" w:firstLine="652"/>
        <w:spacing w:after="0" w:line="284" w:lineRule="auto"/>
        <w:tabs>
          <w:tab w:leader="none" w:pos="237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financial reports required of the SPV comply with GAAP and are issued separately from, but may be consolidated with, any reports prepared for any of its Affiliates;</w:t>
      </w:r>
    </w:p>
    <w:p>
      <w:pPr>
        <w:spacing w:after="0" w:line="143" w:lineRule="exact"/>
        <w:rPr>
          <w:rFonts w:ascii="Times New Roman" w:cs="Times New Roman" w:eastAsia="Times New Roman" w:hAnsi="Times New Roman"/>
          <w:sz w:val="22"/>
          <w:szCs w:val="22"/>
          <w:color w:val="auto"/>
        </w:rPr>
      </w:pPr>
    </w:p>
    <w:p>
      <w:pPr>
        <w:ind w:left="1080" w:firstLine="652"/>
        <w:spacing w:after="0" w:line="271" w:lineRule="auto"/>
        <w:tabs>
          <w:tab w:leader="none" w:pos="237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all times the SPV is adequately capitalized to engage in the transactions contemplated in its organizational documents;</w:t>
      </w:r>
    </w:p>
    <w:p>
      <w:pPr>
        <w:spacing w:after="0" w:line="157" w:lineRule="exact"/>
        <w:rPr>
          <w:rFonts w:ascii="Times New Roman" w:cs="Times New Roman" w:eastAsia="Times New Roman" w:hAnsi="Times New Roman"/>
          <w:sz w:val="22"/>
          <w:szCs w:val="22"/>
          <w:color w:val="auto"/>
        </w:rPr>
      </w:pPr>
    </w:p>
    <w:p>
      <w:pPr>
        <w:ind w:left="1080" w:right="20" w:firstLine="652"/>
        <w:spacing w:after="0" w:line="271" w:lineRule="auto"/>
        <w:tabs>
          <w:tab w:leader="none" w:pos="23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and books and records of the SPV and the Originators reflect the separate limited liability company existence of the SPV;</w:t>
      </w:r>
    </w:p>
    <w:p>
      <w:pPr>
        <w:spacing w:after="0" w:line="171" w:lineRule="exact"/>
        <w:rPr>
          <w:rFonts w:ascii="Times New Roman" w:cs="Times New Roman" w:eastAsia="Times New Roman" w:hAnsi="Times New Roman"/>
          <w:sz w:val="22"/>
          <w:szCs w:val="22"/>
          <w:color w:val="auto"/>
        </w:rPr>
      </w:pPr>
    </w:p>
    <w:p>
      <w:pPr>
        <w:jc w:val="both"/>
        <w:ind w:left="1080" w:firstLine="652"/>
        <w:spacing w:after="0" w:line="257" w:lineRule="auto"/>
        <w:tabs>
          <w:tab w:leader="none" w:pos="237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does not act as agent for any of the Originators or any Affiliate thereof, but instead presents itself to the public as an entity separate from each such Person and independently engaged in the business of purchasing and financing Receivables;</w:t>
      </w:r>
    </w:p>
    <w:p>
      <w:pPr>
        <w:spacing w:after="0" w:line="172" w:lineRule="exact"/>
        <w:rPr>
          <w:rFonts w:ascii="Times New Roman" w:cs="Times New Roman" w:eastAsia="Times New Roman" w:hAnsi="Times New Roman"/>
          <w:sz w:val="22"/>
          <w:szCs w:val="22"/>
          <w:color w:val="auto"/>
        </w:rPr>
      </w:pPr>
    </w:p>
    <w:p>
      <w:pPr>
        <w:ind w:left="1080" w:firstLine="652"/>
        <w:spacing w:after="0" w:line="271" w:lineRule="auto"/>
        <w:tabs>
          <w:tab w:leader="none" w:pos="236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maintains a five-person board of managers, including at least one independent manager, who (A) for the five-year period prior to his or her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020"/>
          </w:cols>
          <w:pgMar w:left="540" w:top="1422" w:right="339" w:bottom="1440" w:gutter="0" w:footer="0" w:header="0"/>
        </w:sectPr>
      </w:pPr>
    </w:p>
    <w:bookmarkStart w:id="103" w:name="page104"/>
    <w:bookmarkEnd w:id="103"/>
    <w:p>
      <w:pPr>
        <w:jc w:val="both"/>
        <w:ind w:left="1080"/>
        <w:spacing w:after="0" w:line="259" w:lineRule="auto"/>
        <w:rPr>
          <w:sz w:val="20"/>
          <w:szCs w:val="20"/>
          <w:color w:val="auto"/>
        </w:rPr>
      </w:pPr>
      <w:r>
        <w:rPr>
          <w:rFonts w:ascii="Times New Roman" w:cs="Times New Roman" w:eastAsia="Times New Roman" w:hAnsi="Times New Roman"/>
          <w:sz w:val="21"/>
          <w:szCs w:val="21"/>
          <w:color w:val="auto"/>
        </w:rPr>
        <w:t>appointment as independent manager has not been, and during the continuation of his or her service as independent manager shall not be: (I) an employee, director, stockholder, member, manager, partner or officer of the SPV, Greif, Inc. or any of their respective Affiliates (other than his or her service as an independent manager of the SPV); (II) except for CT Corporation, Corporation Service Company, Global Securitization Services, LLC, Lord Securities Corporation, AMACAR Group, L.L.C. or any of their respective Affiliates or any other similar service provider unless objected to in writing by Agent (collectively, the “</w:t>
      </w:r>
      <w:r>
        <w:rPr>
          <w:rFonts w:ascii="Times New Roman" w:cs="Times New Roman" w:eastAsia="Times New Roman" w:hAnsi="Times New Roman"/>
          <w:sz w:val="21"/>
          <w:szCs w:val="21"/>
          <w:u w:val="single" w:color="auto"/>
          <w:color w:val="auto"/>
        </w:rPr>
        <w:t>Approved Service Providers</w:t>
      </w:r>
      <w:r>
        <w:rPr>
          <w:rFonts w:ascii="Times New Roman" w:cs="Times New Roman" w:eastAsia="Times New Roman" w:hAnsi="Times New Roman"/>
          <w:sz w:val="21"/>
          <w:szCs w:val="21"/>
          <w:color w:val="auto"/>
        </w:rPr>
        <w:t xml:space="preserve">”), a customer or supplier of the SPV, Greif, Inc. or any of their respective Affiliates (other than his or her service as an independent manager of the SPV); or (III) any member of the immediate family of a person described in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w:t>
      </w:r>
    </w:p>
    <w:p>
      <w:pPr>
        <w:spacing w:after="0" w:line="7" w:lineRule="exact"/>
        <w:rPr>
          <w:sz w:val="20"/>
          <w:szCs w:val="20"/>
          <w:color w:val="auto"/>
        </w:rPr>
      </w:pPr>
    </w:p>
    <w:p>
      <w:pPr>
        <w:jc w:val="both"/>
        <w:ind w:left="1080" w:firstLine="4"/>
        <w:spacing w:after="0" w:line="246" w:lineRule="auto"/>
        <w:tabs>
          <w:tab w:leader="none" w:pos="1455"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(I) prior experience as an independent manager for a corporation or limited liability company whose charter documents required the unanimous consent of all independent manager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 and (C) if approved as an independent manager of the SPV after the Closing Date and is not otherwise affiliated with an Approved Service Provider, has been consented to in writing by the Agent (such consent not to be unreasonably withheld or delayed);</w:t>
      </w:r>
    </w:p>
    <w:p>
      <w:pPr>
        <w:spacing w:after="0" w:line="191" w:lineRule="exact"/>
        <w:rPr>
          <w:rFonts w:ascii="Times New Roman" w:cs="Times New Roman" w:eastAsia="Times New Roman" w:hAnsi="Times New Roman"/>
          <w:sz w:val="22"/>
          <w:szCs w:val="22"/>
          <w:color w:val="auto"/>
        </w:rPr>
      </w:pPr>
    </w:p>
    <w:p>
      <w:pPr>
        <w:ind w:left="1080" w:right="20" w:firstLine="652"/>
        <w:spacing w:after="0" w:line="271" w:lineRule="auto"/>
        <w:tabs>
          <w:tab w:leader="none" w:pos="2370"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organizational documents of the SPV require the affirmative vote of the independent manager before a voluntary petition under Section 301 of the Bankruptcy Code may be filed by the SPV; and</w:t>
      </w:r>
    </w:p>
    <w:p>
      <w:pPr>
        <w:spacing w:after="0" w:line="171" w:lineRule="exact"/>
        <w:rPr>
          <w:rFonts w:ascii="Times New Roman" w:cs="Times New Roman" w:eastAsia="Times New Roman" w:hAnsi="Times New Roman"/>
          <w:sz w:val="22"/>
          <w:szCs w:val="22"/>
          <w:color w:val="auto"/>
        </w:rPr>
      </w:pPr>
    </w:p>
    <w:p>
      <w:pPr>
        <w:jc w:val="both"/>
        <w:ind w:left="1080" w:firstLine="652"/>
        <w:spacing w:after="0" w:line="257" w:lineRule="auto"/>
        <w:tabs>
          <w:tab w:leader="none" w:pos="237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SPV complies with (and causes to be true and correct) each of the facts and assumptions relating to it contained in the opinion(s) of Vorys, Sater, Seymour and Pease LLP,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5.1(m)</w:t>
      </w:r>
      <w:r>
        <w:rPr>
          <w:rFonts w:ascii="Times New Roman" w:cs="Times New Roman" w:eastAsia="Times New Roman" w:hAnsi="Times New Roman"/>
          <w:sz w:val="22"/>
          <w:szCs w:val="22"/>
          <w:color w:val="auto"/>
        </w:rPr>
        <w:t xml:space="preserve"> of the Existing Agreement and this Agreement.</w:t>
      </w:r>
    </w:p>
    <w:p>
      <w:pPr>
        <w:spacing w:after="0" w:line="173" w:lineRule="exact"/>
        <w:rPr>
          <w:sz w:val="20"/>
          <w:szCs w:val="20"/>
          <w:color w:val="auto"/>
        </w:rPr>
      </w:pPr>
    </w:p>
    <w:p>
      <w:pPr>
        <w:jc w:val="both"/>
        <w:ind w:left="-220" w:firstLine="1304"/>
        <w:spacing w:after="0" w:line="251" w:lineRule="auto"/>
        <w:tabs>
          <w:tab w:leader="none" w:pos="171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Debt</w:t>
      </w:r>
      <w:r>
        <w:rPr>
          <w:rFonts w:ascii="Times New Roman" w:cs="Times New Roman" w:eastAsia="Times New Roman" w:hAnsi="Times New Roman"/>
          <w:sz w:val="22"/>
          <w:szCs w:val="22"/>
          <w:color w:val="auto"/>
        </w:rPr>
        <w:t>. Except as provided herein, the SPV has not created, incurred, assumed or suffered to exist any Indebtedness whether current or funded, or any other liability other than (i) Indebtedness of the SPV representing fees, expenses and indemnities arising hereunder or under the First Tier Agreement for the purchase price of the Receivables and other Affected Assets under the First Tier Agreement, (ii) indebtedness to one or more Originators for the Deferred Purchase Price, (iii) other outstanding Indebtedness incurred in the ordinary course of its business in an amount that does not exceed $18,600 and (iv) Continuing Obligations.</w:t>
      </w:r>
    </w:p>
    <w:p>
      <w:pPr>
        <w:spacing w:after="0" w:line="181" w:lineRule="exact"/>
        <w:rPr>
          <w:rFonts w:ascii="Times New Roman" w:cs="Times New Roman" w:eastAsia="Times New Roman" w:hAnsi="Times New Roman"/>
          <w:sz w:val="22"/>
          <w:szCs w:val="22"/>
          <w:color w:val="auto"/>
        </w:rPr>
      </w:pPr>
    </w:p>
    <w:p>
      <w:pPr>
        <w:jc w:val="both"/>
        <w:ind w:left="-220" w:firstLine="1304"/>
        <w:spacing w:after="0" w:line="263" w:lineRule="auto"/>
        <w:tabs>
          <w:tab w:leader="none" w:pos="172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in other Related Documents</w:t>
      </w:r>
      <w:r>
        <w:rPr>
          <w:rFonts w:ascii="Times New Roman" w:cs="Times New Roman" w:eastAsia="Times New Roman" w:hAnsi="Times New Roman"/>
          <w:sz w:val="22"/>
          <w:szCs w:val="22"/>
          <w:color w:val="auto"/>
        </w:rPr>
        <w:t>. Each of the representations and warranties made by it contained in the Transaction Documents is true, complete and correct in all material respects (except any representation or warranty qualified by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020"/>
          </w:cols>
          <w:pgMar w:left="540" w:top="1422" w:right="339" w:bottom="1440" w:gutter="0" w:footer="0" w:header="0"/>
        </w:sectPr>
      </w:pPr>
    </w:p>
    <w:bookmarkStart w:id="104" w:name="page105"/>
    <w:bookmarkEnd w:id="104"/>
    <w:p>
      <w:pPr>
        <w:jc w:val="both"/>
        <w:spacing w:after="0" w:line="250" w:lineRule="auto"/>
        <w:rPr>
          <w:sz w:val="20"/>
          <w:szCs w:val="20"/>
          <w:color w:val="auto"/>
        </w:rPr>
      </w:pPr>
      <w:r>
        <w:rPr>
          <w:rFonts w:ascii="Times New Roman" w:cs="Times New Roman" w:eastAsia="Times New Roman" w:hAnsi="Times New Roman"/>
          <w:sz w:val="22"/>
          <w:szCs w:val="22"/>
          <w:color w:val="auto"/>
        </w:rPr>
        <w:t>materiality or by reference to a material adverse effect, which is true, complete and correct in all respects) on and as of such day as though made on and as of such day and shall be deemed to have been made on such day (unless such representations and warranties specifically refer to a previous day, in which case, they shall be complete and correct in all material respects (or with respect to such representations and warranties qualified by materiality or by reference to a material adverse effect complete and correct in all respects) on and as of such previous day), and it hereby makes each such representation and warranty to, and for the benefit of, the Agent, each Managing Agent, the Administrators, the Investors and the other Secured Parties as if the same were set forth in full herein.</w:t>
      </w:r>
    </w:p>
    <w:p>
      <w:pPr>
        <w:spacing w:after="0" w:line="180" w:lineRule="exact"/>
        <w:rPr>
          <w:sz w:val="20"/>
          <w:szCs w:val="20"/>
          <w:color w:val="auto"/>
        </w:rPr>
      </w:pPr>
    </w:p>
    <w:p>
      <w:pPr>
        <w:ind w:firstLine="1304"/>
        <w:spacing w:after="0" w:line="284" w:lineRule="auto"/>
        <w:tabs>
          <w:tab w:leader="none" w:pos="194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Servicer Default</w:t>
      </w:r>
      <w:r>
        <w:rPr>
          <w:rFonts w:ascii="Times New Roman" w:cs="Times New Roman" w:eastAsia="Times New Roman" w:hAnsi="Times New Roman"/>
          <w:sz w:val="22"/>
          <w:szCs w:val="22"/>
          <w:color w:val="auto"/>
        </w:rPr>
        <w:t>. In the case of the Servicer, no event has occurred and is continuing and no condition exists which constitutes or may reasonably be expected to constitute a Servicer Default.</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Ordinary Course of Business</w:t>
      </w:r>
      <w:r>
        <w:rPr>
          <w:rFonts w:ascii="Times New Roman" w:cs="Times New Roman" w:eastAsia="Times New Roman" w:hAnsi="Times New Roman"/>
          <w:sz w:val="22"/>
          <w:szCs w:val="22"/>
          <w:color w:val="auto"/>
        </w:rPr>
        <w:t>. In the case of the SPV, that each remittance of Collections by or on behalf of the SPV to the Agent and the Managing Agents under this Agreement will have been (i) in payment of a debt incurred by the SPV in the ordinary course of business or financial affairs of the SPV and (ii) made in the ordinary course of business or financial affairs of the SPV.</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Senior Credit Agreements</w:t>
      </w:r>
      <w:r>
        <w:rPr>
          <w:rFonts w:ascii="Times New Roman" w:cs="Times New Roman" w:eastAsia="Times New Roman" w:hAnsi="Times New Roman"/>
          <w:sz w:val="22"/>
          <w:szCs w:val="22"/>
          <w:color w:val="auto"/>
        </w:rPr>
        <w:t>. The transactions contemplated by this Agreement and the other Transaction Documents constitute a “Permitted Accounts Receivable Securitization” under and as defined in each Senior Credit Agreement, and the execution, delivery and performance by the SPV and the Servicer of this Agreement and the other Transaction Documents to which such Person is a party do not contravene or constitute a default or breach under such Senior Credit Agreement.</w:t>
      </w:r>
    </w:p>
    <w:p>
      <w:pPr>
        <w:spacing w:after="0" w:line="19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5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Entity’s directors and officers, and to the knowledge of any Seller Party any employee, agent, or affiliate acting on behalf of any Covered Entity: (a) is not a Sanctioned Person; (b) does not do business in or with, or derive any of its income, directly or indirectly, from any Sanctioned Person or any Sanctioned Jurisdiction; and (c) is not in violation of, and is not, directly or indirectly, taking any action that could cause any Covered Entity to be in violation of, applicable (A) International Trade Laws, (B) Sanctions, (C) Anti-Money Laundering Laws in any material respect, or (D) Anti-Corruption Laws.</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9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Entity, and each Covered Entity’s directors, officers and employees, and to the knowledge of any Seller Party, any agent or affiliate acting on behalf of any Covered Entity: (x) is not in receipt of any notice or communication from any Compliance Authority that alleges, or otherwise pertains to, a violation of any (A) International Trade Laws, (B) Sanctions, (C) Anti-Money Laundering Laws in any material respect, or (D) Anti-Corruption Laws;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105" w:name="page106"/>
    <w:bookmarkEnd w:id="105"/>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and (y) is not the target or subject of any investigation, nor has it received any request for information, involving any allegation relating to a violation of any (A) International Trade Laws, (B) Sanctions, (C) Anti-Money Laundering Laws, in any material respect, or (D) Anti-Corruption Laws by an Official Body.</w:t>
      </w:r>
    </w:p>
    <w:p>
      <w:pPr>
        <w:spacing w:after="0" w:line="186" w:lineRule="exact"/>
        <w:rPr>
          <w:sz w:val="20"/>
          <w:szCs w:val="20"/>
          <w:color w:val="auto"/>
        </w:rPr>
      </w:pPr>
    </w:p>
    <w:p>
      <w:pPr>
        <w:jc w:val="both"/>
        <w:ind w:left="1300" w:firstLine="652"/>
        <w:spacing w:after="0" w:line="257" w:lineRule="auto"/>
        <w:tabs>
          <w:tab w:leader="none" w:pos="259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Covered Entity has instituted, maintains or is subject to policies and procedures reasonably designed to promote and achieve compliance with applicable International Trade Laws, Sanctions, Anti- Money Laundering Laws and Anti-Corruption Laws.</w:t>
      </w:r>
    </w:p>
    <w:p>
      <w:pPr>
        <w:spacing w:after="0" w:line="17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Covered Property pledged as Affected Assets.</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In the case of the SPV, as of the Closing Date, the SPV is an entity that is organized under the laws of the United States or of any state and at least 51 percent of whose common stock or analogous equity interest is owned by a listed entity and is excluded on that basis from the definition of Legal Entity Customer as defined in the Beneficial Ownership Rule.</w:t>
      </w:r>
    </w:p>
    <w:p>
      <w:pPr>
        <w:spacing w:after="0" w:line="1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Conditions Precedent to Closing</w:t>
      </w:r>
      <w:r>
        <w:rPr>
          <w:rFonts w:ascii="Times New Roman" w:cs="Times New Roman" w:eastAsia="Times New Roman" w:hAnsi="Times New Roman"/>
          <w:sz w:val="22"/>
          <w:szCs w:val="22"/>
          <w:color w:val="auto"/>
        </w:rPr>
        <w:t xml:space="preserve">. The occurrence of the Closing Date and the effectiveness of the Commitments hereunder shall be subject to the conditions precedent that (i) the SPV or the Originators shall have paid in full (A) all amounts required to be paid by each of them on or prior to the Closing Date pursuant to the Fee Letters and Administrative Fee Letter and (B) the fees and expenses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9.4(a)</w:t>
      </w:r>
      <w:r>
        <w:rPr>
          <w:rFonts w:ascii="Times New Roman" w:cs="Times New Roman" w:eastAsia="Times New Roman" w:hAnsi="Times New Roman"/>
          <w:sz w:val="22"/>
          <w:szCs w:val="22"/>
          <w:color w:val="auto"/>
        </w:rPr>
        <w:t xml:space="preserve"> and invoiced prior to the Closing Date, (ii) satisfactory completion by the Agent of its due diligence process, and (iii) each Managing Agent shall have received, for itself and each of the Investors in its Investor Group, counterparts of each of the following documents, each in form and substance satisfactory to each Managing Agent:</w:t>
      </w:r>
    </w:p>
    <w:p>
      <w:pPr>
        <w:spacing w:after="0" w:line="200" w:lineRule="exact"/>
        <w:rPr>
          <w:sz w:val="20"/>
          <w:szCs w:val="20"/>
          <w:color w:val="auto"/>
        </w:rPr>
      </w:pPr>
    </w:p>
    <w:p>
      <w:pPr>
        <w:spacing w:after="0" w:line="223" w:lineRule="exact"/>
        <w:rPr>
          <w:sz w:val="20"/>
          <w:szCs w:val="20"/>
          <w:color w:val="auto"/>
        </w:rPr>
      </w:pPr>
    </w:p>
    <w:p>
      <w:pPr>
        <w:jc w:val="both"/>
        <w:ind w:firstLine="1304"/>
        <w:spacing w:after="0" w:line="257" w:lineRule="auto"/>
        <w:tabs>
          <w:tab w:leader="none" w:pos="194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of this Agreement, the First Tier Agreement, the Guaranty, the Fee Letters, the Administrative Fee Letter, the Notice Letter Agreement, the Disclosure Letter and each of the other Transaction Documents executed by the Originators, the SPV or the Servicer, as applicable.</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of the secretary or assistant secretary of the SPV, certifying and attaching as exhibits thereto, among other things:</w:t>
      </w:r>
    </w:p>
    <w:p>
      <w:pPr>
        <w:spacing w:after="0" w:line="15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organizational documents;</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9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the board of managers or other governing body of the SPV authorizing the execution, delivery and performance by the SPV of this Agreement, the First Tier Agreement and the other Transaction Documents to be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106" w:name="page107"/>
    <w:bookmarkEnd w:id="106"/>
    <w:p>
      <w:pPr>
        <w:ind w:left="1080"/>
        <w:spacing w:after="0" w:line="271" w:lineRule="auto"/>
        <w:rPr>
          <w:sz w:val="20"/>
          <w:szCs w:val="20"/>
          <w:color w:val="auto"/>
        </w:rPr>
      </w:pPr>
      <w:r>
        <w:rPr>
          <w:rFonts w:ascii="Times New Roman" w:cs="Times New Roman" w:eastAsia="Times New Roman" w:hAnsi="Times New Roman"/>
          <w:sz w:val="22"/>
          <w:szCs w:val="22"/>
          <w:color w:val="auto"/>
        </w:rPr>
        <w:t>delivered by the SPV hereunder or thereunder and all other documents evidencing necessary limited liability company action and government approvals, if any; and</w:t>
      </w:r>
    </w:p>
    <w:p>
      <w:pPr>
        <w:spacing w:after="0" w:line="158" w:lineRule="exact"/>
        <w:rPr>
          <w:sz w:val="20"/>
          <w:szCs w:val="20"/>
          <w:color w:val="auto"/>
        </w:rPr>
      </w:pPr>
    </w:p>
    <w:p>
      <w:pPr>
        <w:ind w:left="1080" w:right="20" w:firstLine="652"/>
        <w:spacing w:after="0" w:line="284" w:lineRule="auto"/>
        <w:tabs>
          <w:tab w:leader="none" w:pos="237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authority and signature of each officer of the SPV executing the Transaction Documents or any certificates or other documents delivered hereunder or thereunder on behalf of the SPV.</w:t>
      </w:r>
    </w:p>
    <w:p>
      <w:pPr>
        <w:spacing w:after="0" w:line="143" w:lineRule="exact"/>
        <w:rPr>
          <w:rFonts w:ascii="Times New Roman" w:cs="Times New Roman" w:eastAsia="Times New Roman" w:hAnsi="Times New Roman"/>
          <w:sz w:val="22"/>
          <w:szCs w:val="22"/>
          <w:color w:val="auto"/>
        </w:rPr>
      </w:pPr>
    </w:p>
    <w:p>
      <w:pPr>
        <w:ind w:left="-220" w:right="20" w:firstLine="1304"/>
        <w:spacing w:after="0" w:line="271" w:lineRule="auto"/>
        <w:tabs>
          <w:tab w:leader="none" w:pos="172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of the secretary or assistant secretary of each Originator and the Servicer certifying and attaching as exhibits thereto, among other things:</w:t>
      </w:r>
    </w:p>
    <w:p>
      <w:pPr>
        <w:spacing w:after="0" w:line="157" w:lineRule="exact"/>
        <w:rPr>
          <w:rFonts w:ascii="Times New Roman" w:cs="Times New Roman" w:eastAsia="Times New Roman" w:hAnsi="Times New Roman"/>
          <w:sz w:val="22"/>
          <w:szCs w:val="22"/>
          <w:color w:val="auto"/>
        </w:rPr>
      </w:pPr>
    </w:p>
    <w:p>
      <w:pPr>
        <w:jc w:val="both"/>
        <w:ind w:left="1080" w:firstLine="652"/>
        <w:spacing w:after="0" w:line="263" w:lineRule="auto"/>
        <w:tabs>
          <w:tab w:leader="none" w:pos="236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articles of incorporation or other organizing document of each Originator and the Servicer (certified by the Secretary of State or other similar official of its jurisdiction of incorporation or organization, as applicable, as of a recent date);</w:t>
      </w:r>
    </w:p>
    <w:p>
      <w:pPr>
        <w:spacing w:after="0" w:line="167" w:lineRule="exact"/>
        <w:rPr>
          <w:sz w:val="20"/>
          <w:szCs w:val="20"/>
          <w:color w:val="auto"/>
        </w:rPr>
      </w:pPr>
    </w:p>
    <w:p>
      <w:pPr>
        <w:ind w:left="2380" w:hanging="648"/>
        <w:spacing w:after="0"/>
        <w:tabs>
          <w:tab w:leader="none" w:pos="238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by-laws or operating agreement, as applicable, of each Originator and the Servicer;</w:t>
      </w:r>
    </w:p>
    <w:p>
      <w:pPr>
        <w:spacing w:after="0" w:line="219" w:lineRule="exact"/>
        <w:rPr>
          <w:rFonts w:ascii="Times New Roman" w:cs="Times New Roman" w:eastAsia="Times New Roman" w:hAnsi="Times New Roman"/>
          <w:sz w:val="22"/>
          <w:szCs w:val="22"/>
          <w:color w:val="auto"/>
        </w:rPr>
      </w:pPr>
    </w:p>
    <w:p>
      <w:pPr>
        <w:jc w:val="both"/>
        <w:ind w:left="1080" w:firstLine="652"/>
        <w:spacing w:after="0" w:line="252" w:lineRule="auto"/>
        <w:tabs>
          <w:tab w:leader="none" w:pos="237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resolutions of the board of directors or other governing body of each Originator and the Servicer authorizing the execution, delivery and performance by it of this Agreement, the First Tier Agreement and the other Transaction Documents to be delivered by it hereunder or thereunder and all other documents evidencing necessary corporate action (including shareholder consents) and government approvals, if any; and</w:t>
      </w:r>
    </w:p>
    <w:p>
      <w:pPr>
        <w:spacing w:after="0" w:line="192" w:lineRule="exact"/>
        <w:rPr>
          <w:rFonts w:ascii="Times New Roman" w:cs="Times New Roman" w:eastAsia="Times New Roman" w:hAnsi="Times New Roman"/>
          <w:sz w:val="22"/>
          <w:szCs w:val="22"/>
          <w:color w:val="auto"/>
        </w:rPr>
      </w:pPr>
    </w:p>
    <w:p>
      <w:pPr>
        <w:jc w:val="both"/>
        <w:ind w:left="1080" w:firstLine="652"/>
        <w:spacing w:after="0" w:line="257" w:lineRule="auto"/>
        <w:tabs>
          <w:tab w:leader="none" w:pos="2364"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incumbency, authority and signature of each officer of each of the Originators and the Servicer executing the Transaction Documents or any certificates or other documents delivered hereunder or thereunder on its behalf.</w:t>
      </w:r>
    </w:p>
    <w:p>
      <w:pPr>
        <w:spacing w:after="0" w:line="172" w:lineRule="exact"/>
        <w:rPr>
          <w:rFonts w:ascii="Times New Roman" w:cs="Times New Roman" w:eastAsia="Times New Roman" w:hAnsi="Times New Roman"/>
          <w:sz w:val="22"/>
          <w:szCs w:val="22"/>
          <w:color w:val="auto"/>
        </w:rPr>
      </w:pPr>
    </w:p>
    <w:p>
      <w:pPr>
        <w:ind w:left="-220" w:firstLine="1304"/>
        <w:spacing w:after="0" w:line="271" w:lineRule="auto"/>
        <w:tabs>
          <w:tab w:leader="none" w:pos="171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for the SPV issued by the Secretary of State or a similar official of the SPV’s jurisdiction of formation, dated as of a recent date.</w:t>
      </w:r>
    </w:p>
    <w:p>
      <w:pPr>
        <w:spacing w:after="0" w:line="171" w:lineRule="exact"/>
        <w:rPr>
          <w:rFonts w:ascii="Times New Roman" w:cs="Times New Roman" w:eastAsia="Times New Roman" w:hAnsi="Times New Roman"/>
          <w:sz w:val="22"/>
          <w:szCs w:val="22"/>
          <w:color w:val="auto"/>
        </w:rPr>
      </w:pPr>
    </w:p>
    <w:p>
      <w:pPr>
        <w:ind w:left="-220" w:firstLine="1304"/>
        <w:spacing w:after="0" w:line="271" w:lineRule="auto"/>
        <w:tabs>
          <w:tab w:leader="none" w:pos="172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good standing certificate for each of the Originators and the Servicer issued by the Secretary of State or a similar official of its jurisdiction of incorporation or organization, as applicable, dated as of a recent date.</w:t>
      </w:r>
    </w:p>
    <w:p>
      <w:pPr>
        <w:spacing w:after="0" w:line="157" w:lineRule="exact"/>
        <w:rPr>
          <w:rFonts w:ascii="Times New Roman" w:cs="Times New Roman" w:eastAsia="Times New Roman" w:hAnsi="Times New Roman"/>
          <w:sz w:val="22"/>
          <w:szCs w:val="22"/>
          <w:color w:val="auto"/>
        </w:rPr>
      </w:pPr>
    </w:p>
    <w:p>
      <w:pPr>
        <w:jc w:val="both"/>
        <w:ind w:left="-220" w:firstLine="1304"/>
        <w:spacing w:after="0" w:line="253" w:lineRule="auto"/>
        <w:tabs>
          <w:tab w:leader="none" w:pos="172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Acknowledgment copies or other evidence of filing acceptable to the Agent of proper financing statements, naming the SPV, as debtor, in favor of the Agent, as secured party, for the benefit of the Secured Parties or other similar instruments or documents as may be necessary or in the reasonable opinion of the Agent desirable under the UCC of all appropriate jurisdictions or any comparable law to perfect the Agent’s ownership or security interest in all Receivables and the other Affected Assets.</w:t>
      </w:r>
    </w:p>
    <w:p>
      <w:pPr>
        <w:spacing w:after="0" w:line="178" w:lineRule="exact"/>
        <w:rPr>
          <w:rFonts w:ascii="Times New Roman" w:cs="Times New Roman" w:eastAsia="Times New Roman" w:hAnsi="Times New Roman"/>
          <w:sz w:val="22"/>
          <w:szCs w:val="22"/>
          <w:color w:val="auto"/>
        </w:rPr>
      </w:pPr>
    </w:p>
    <w:p>
      <w:pPr>
        <w:ind w:left="-220" w:firstLine="1304"/>
        <w:spacing w:after="0" w:line="271" w:lineRule="auto"/>
        <w:tabs>
          <w:tab w:leader="none" w:pos="171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Acknowledgment copies or other evidence of filing acceptable to the Agent of proper financing statements, naming each Originator, as the debtor, in favor of the SPV,</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020"/>
          </w:cols>
          <w:pgMar w:left="540" w:top="1422" w:right="33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22"/>
          <w:szCs w:val="22"/>
          <w:color w:val="auto"/>
        </w:rPr>
        <w:t>as assignor secured party, and the Agent, for the benefit of the Secured Parties, as assignee secured party, or other similar instruments or documents as may be necessary or in the reasonable opinion of the Agent desirable under the UCC of all appropriate jurisdictions or any comparable law to perfect the SPV’s ownership interest in all Receivables and the other Affected Assets.</w:t>
      </w:r>
    </w:p>
    <w:p>
      <w:pPr>
        <w:spacing w:after="0" w:line="176" w:lineRule="exact"/>
        <w:rPr>
          <w:sz w:val="20"/>
          <w:szCs w:val="20"/>
          <w:color w:val="auto"/>
        </w:rPr>
      </w:pPr>
    </w:p>
    <w:p>
      <w:pPr>
        <w:ind w:firstLine="1304"/>
        <w:spacing w:after="0" w:line="271"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proper financing statements necessary to terminate all security interests and other rights of any Person in Receivables or the other Affected Assets previously granted by each Originator and the SPV.</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Certified copies of requests for information or copies (or a similar search report certified by parties acceptable to the Agent) dated a date reasonably near the Closing Date listing all effective financing statements which name the SPV or each Originator as debtor and which are filed in jurisdictions in which the filings were made pursuant to </w:t>
      </w:r>
      <w:r>
        <w:rPr>
          <w:rFonts w:ascii="Times New Roman" w:cs="Times New Roman" w:eastAsia="Times New Roman" w:hAnsi="Times New Roman"/>
          <w:sz w:val="22"/>
          <w:szCs w:val="22"/>
          <w:u w:val="single" w:color="auto"/>
          <w:color w:val="auto"/>
        </w:rPr>
        <w:t>clauses (f)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above and such other jurisdictions where the Agent may reasonably request, together with copies of such financing statements, and similar search reports with respect to federal tax liens and liens of the Pension Benefit Guaranty Corporation in such jurisdictions.</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the Blocked Account Agreements relating to each of the Blocked Accounts.</w:t>
      </w:r>
    </w:p>
    <w:p>
      <w:pPr>
        <w:spacing w:after="0" w:line="219" w:lineRule="exact"/>
        <w:rPr>
          <w:rFonts w:ascii="Times New Roman" w:cs="Times New Roman" w:eastAsia="Times New Roman" w:hAnsi="Times New Roman"/>
          <w:sz w:val="22"/>
          <w:szCs w:val="22"/>
          <w:color w:val="auto"/>
        </w:rPr>
      </w:pPr>
    </w:p>
    <w:p>
      <w:pPr>
        <w:ind w:right="20" w:firstLine="1304"/>
        <w:spacing w:after="0" w:line="309" w:lineRule="auto"/>
        <w:tabs>
          <w:tab w:leader="none" w:pos="1939"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favorable opinion of Dennis Hoffman, General Counsel of Greif, Inc., covering certain corporate matters with respect to the Servicer, the Originators and the SPV in form and substance satisfactory to the Agent and Agent’s counsel.</w:t>
      </w:r>
    </w:p>
    <w:p>
      <w:pPr>
        <w:spacing w:after="0" w:line="120" w:lineRule="exact"/>
        <w:rPr>
          <w:rFonts w:ascii="Times New Roman" w:cs="Times New Roman" w:eastAsia="Times New Roman" w:hAnsi="Times New Roman"/>
          <w:sz w:val="21"/>
          <w:szCs w:val="21"/>
          <w:color w:val="auto"/>
        </w:rPr>
      </w:pPr>
    </w:p>
    <w:p>
      <w:pPr>
        <w:jc w:val="both"/>
        <w:ind w:firstLine="1304"/>
        <w:spacing w:after="0" w:line="295" w:lineRule="auto"/>
        <w:tabs>
          <w:tab w:leader="none" w:pos="1932"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favorable opinion of Vorys, Sater, Seymour and Pease LLP, special counsel to the SPV, the Servicer and the Originators, covering certain corporate and UCC matters in form and substance satisfactory to the Agent and Agent’s counsel.</w:t>
      </w:r>
    </w:p>
    <w:p>
      <w:pPr>
        <w:spacing w:after="0" w:line="13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favorable opinion of Vorys, Sater, Seymour and Pease LLP, special counsel to the SPV and the Originators, covering certain bankruptcy and insolvency matters in form and substance satisfactory to the Agent and Agent’s counsel.</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electronic file identifying all Receivables and the Unpaid Balances thereon and such other information with respect to the Receivables as any Managing Agent may reasonably request.</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Satisfactory results of a review and audit of the SPV’s and the Originators’ collection, operating and reporting systems, Credit and Collection Policy, historical receivables data and accounts, including satisfactory results of a review of the Originators’ operating location(s) and satisfactory review and approval of the Eligible Receivables in existence on the date of the initial purchase under the First Tier Agreement and a written outside audit report of a nationally-recognized accounting firm as to such matters.</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Servicer Report as of March 31,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108" w:name="page109"/>
    <w:bookmarkEnd w:id="108"/>
    <w:p>
      <w:pPr>
        <w:ind w:left="1940" w:hanging="636"/>
        <w:spacing w:after="0"/>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the Collection Account has been established.</w:t>
      </w:r>
    </w:p>
    <w:p>
      <w:pPr>
        <w:spacing w:after="0" w:line="21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copies of the 2026 Bank of America Assignment, in form and substance satisfactory to the Agent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Agent’s counsel.</w:t>
      </w:r>
    </w:p>
    <w:p>
      <w:pPr>
        <w:spacing w:after="0" w:line="209" w:lineRule="exact"/>
        <w:rPr>
          <w:rFonts w:ascii="Times New Roman" w:cs="Times New Roman" w:eastAsia="Times New Roman" w:hAnsi="Times New Roman"/>
          <w:sz w:val="21"/>
          <w:szCs w:val="21"/>
          <w:color w:val="auto"/>
        </w:rPr>
      </w:pPr>
    </w:p>
    <w:p>
      <w:pPr>
        <w:ind w:firstLine="1304"/>
        <w:spacing w:after="0" w:line="271" w:lineRule="auto"/>
        <w:tabs>
          <w:tab w:leader="none" w:pos="194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approvals, documents, instruments, certificates and opinions as the Agent, any Managing Agent, any Administrator or any Investor may reasonably request.</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Conditions Precedent to All Investments and Reinvestments</w:t>
      </w:r>
      <w:r>
        <w:rPr>
          <w:rFonts w:ascii="Times New Roman" w:cs="Times New Roman" w:eastAsia="Times New Roman" w:hAnsi="Times New Roman"/>
          <w:sz w:val="22"/>
          <w:szCs w:val="22"/>
          <w:color w:val="auto"/>
        </w:rPr>
        <w:t>. Each Investment hereunder (including the initial Investment) and each Reinvestment hereunder shall be subject to the conditions precedent that (i) the Closing Date shall have occurred, and (ii) on the date of such Investment or Reinvestment, as the case may be, the following statements shall be true (and the SPV by accepting the amount of such Investment or Reinvestment shall be deemed to have certified that):</w:t>
      </w:r>
    </w:p>
    <w:p>
      <w:pPr>
        <w:spacing w:after="0" w:line="200" w:lineRule="exact"/>
        <w:rPr>
          <w:sz w:val="20"/>
          <w:szCs w:val="20"/>
          <w:color w:val="auto"/>
        </w:rPr>
      </w:pPr>
    </w:p>
    <w:p>
      <w:pPr>
        <w:spacing w:after="0" w:line="219" w:lineRule="exact"/>
        <w:rPr>
          <w:sz w:val="20"/>
          <w:szCs w:val="20"/>
          <w:color w:val="auto"/>
        </w:rPr>
      </w:pPr>
    </w:p>
    <w:p>
      <w:pPr>
        <w:jc w:val="both"/>
        <w:ind w:firstLine="1304"/>
        <w:spacing w:after="0" w:line="248"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contained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are true and correct in all material respects (except those representations and warranties qualified by materiality or by reference to a material adverse effect, which are true and correct in all respects) on and as of such day as though made on and as of such day and shall be deemed to have been made on such day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representation, warranty, or certification hereunder shall be deemed to be incorrect or violated to the extent any affected Receivable is subject to a Deemed Collection and all required amounts with respect to which have been deposited into a Blocked Account or the Collection Account.</w:t>
      </w:r>
    </w:p>
    <w:p>
      <w:pPr>
        <w:spacing w:after="0" w:line="185" w:lineRule="exact"/>
        <w:rPr>
          <w:rFonts w:ascii="Times New Roman" w:cs="Times New Roman" w:eastAsia="Times New Roman" w:hAnsi="Times New Roman"/>
          <w:sz w:val="22"/>
          <w:szCs w:val="22"/>
          <w:color w:val="auto"/>
        </w:rPr>
      </w:pPr>
    </w:p>
    <w:p>
      <w:pPr>
        <w:ind w:right="20" w:firstLine="1304"/>
        <w:spacing w:after="0" w:line="284"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Investment, each Managing Agent shall have received an Investment Request, appropriately completed, within the time period required by </w:t>
      </w:r>
      <w:r>
        <w:rPr>
          <w:rFonts w:ascii="Times New Roman" w:cs="Times New Roman" w:eastAsia="Times New Roman" w:hAnsi="Times New Roman"/>
          <w:sz w:val="22"/>
          <w:szCs w:val="22"/>
          <w:u w:val="single" w:color="auto"/>
          <w:color w:val="auto"/>
        </w:rPr>
        <w:t>Section 2.3.</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Investment, the Agent and each Managing Agent shall have received a Servicer Report dated no more than 30 days prior to the proposed Investment Date, and the information set forth therein shall be true, complete and correct in all material respects.</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Date has not occurred.</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Investment, the amount of such Investment will not exceed the amount available therefor under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after giving effect thereto, the sum of the Net Investment and the Required Reserves will not exceed the Net Pool Balance.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109" w:name="page110"/>
    <w:bookmarkEnd w:id="10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Affirmative Covenants of the SPV and Servicer</w:t>
      </w:r>
      <w:r>
        <w:rPr>
          <w:rFonts w:ascii="Times New Roman" w:cs="Times New Roman" w:eastAsia="Times New Roman" w:hAnsi="Times New Roman"/>
          <w:sz w:val="22"/>
          <w:szCs w:val="22"/>
          <w:color w:val="auto"/>
        </w:rPr>
        <w:t>. At all times from the date hereof to the Final Payout Date, unless the Majority Investors shall otherwise consent in writing:</w:t>
      </w:r>
    </w:p>
    <w:p>
      <w:pPr>
        <w:spacing w:after="0" w:line="200" w:lineRule="exact"/>
        <w:rPr>
          <w:sz w:val="20"/>
          <w:szCs w:val="20"/>
          <w:color w:val="auto"/>
        </w:rPr>
      </w:pPr>
    </w:p>
    <w:p>
      <w:pPr>
        <w:spacing w:after="0" w:line="201" w:lineRule="exact"/>
        <w:rPr>
          <w:sz w:val="20"/>
          <w:szCs w:val="20"/>
          <w:color w:val="auto"/>
        </w:rPr>
      </w:pPr>
    </w:p>
    <w:p>
      <w:pPr>
        <w:ind w:left="1940" w:hanging="636"/>
        <w:spacing w:after="0"/>
        <w:tabs>
          <w:tab w:leader="none" w:pos="19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Requirements</w:t>
      </w:r>
      <w:r>
        <w:rPr>
          <w:rFonts w:ascii="Times New Roman" w:cs="Times New Roman" w:eastAsia="Times New Roman" w:hAnsi="Times New Roman"/>
          <w:sz w:val="22"/>
          <w:szCs w:val="22"/>
          <w:color w:val="auto"/>
        </w:rPr>
        <w:t>. The SPV shall furnish to the Agent (with a copy to each Managing Agent):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0" w:lineRule="auto"/>
        <w:tabs>
          <w:tab w:leader="none" w:pos="258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Reporting</w:t>
      </w:r>
      <w:r>
        <w:rPr>
          <w:rFonts w:ascii="Times New Roman" w:cs="Times New Roman" w:eastAsia="Times New Roman" w:hAnsi="Times New Roman"/>
          <w:sz w:val="21"/>
          <w:szCs w:val="21"/>
          <w:color w:val="auto"/>
        </w:rPr>
        <w:t xml:space="preserve">. (A) Within ninety (90) days after the close of Greif, Inc.’s fiscal year, audited financial statements, prepared by a nationally-recognized accounting firm in accordance with GAAP on a consolidated basis for Greif, Inc. and its Subsidiaries (which shall include the SPV), including balance sheets as of the end of such period, related statements of operations, shareholder’s equity and cash flows, accompanied by an unqualified audit report certified by independent certified public accountants, acceptable to each Managing Agent, prepared in accordance with GAAP and any management letter prepared by said accountants and a certificate of said accountants that, in the course of the foregoing, they have obtained no knowledge of any Termination Event or Potential Termination Event, or if, in the opinion of such accountants, any Termination Event or Potential Termination Event shall exist, stating the nature and status thereof, and (B) prior to each annual anniversary of the Closing Date, a report covering such fiscal year to the effect that such accounting firm has applied certain agreed-upon procedures (a copy of which procedures are attached as Schedule 6.1(a) to the Disclosure Letter, it being understood that the Servicer and the Agent will provide an updated Schedule 6.1(a) to the Disclosure Letter reflecting any further amendments to such Schedule 6.1(a) to the Disclosure Letter prior to the issuance of the first such agreed-upon procedures report, a copy of which shall replace the then existing Schedule 6.1(a) to the Disclosure Letter) to certain documents and records relating to the Receivables and the Affected Assets, compared the information contained in the Servicer Reports delivered during the period covered by such report with such documents and records and that no matters came to the attention of such accountants that caused them to believe that such servicing was not conducted in compliance with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except for such exceptions as such accountants shall believe to be immaterial and such other exceptions as shall be set forth in such statement.</w:t>
      </w:r>
    </w:p>
    <w:p>
      <w:pPr>
        <w:spacing w:after="0" w:line="173" w:lineRule="exact"/>
        <w:rPr>
          <w:rFonts w:ascii="Times New Roman" w:cs="Times New Roman" w:eastAsia="Times New Roman" w:hAnsi="Times New Roman"/>
          <w:sz w:val="21"/>
          <w:szCs w:val="21"/>
          <w:color w:val="auto"/>
        </w:rPr>
      </w:pPr>
    </w:p>
    <w:p>
      <w:pPr>
        <w:jc w:val="both"/>
        <w:ind w:left="1300" w:firstLine="652"/>
        <w:spacing w:after="0" w:line="250" w:lineRule="auto"/>
        <w:tabs>
          <w:tab w:leader="none" w:pos="259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Quarterly Reporting</w:t>
      </w:r>
      <w:r>
        <w:rPr>
          <w:rFonts w:ascii="Times New Roman" w:cs="Times New Roman" w:eastAsia="Times New Roman" w:hAnsi="Times New Roman"/>
          <w:sz w:val="22"/>
          <w:szCs w:val="22"/>
          <w:color w:val="auto"/>
        </w:rPr>
        <w:t>. Within forty-five (45) days after the close of the first three quarterly periods of Greif, Inc.’s fiscal year, for Greif, Inc. and its other Subsidiaries (which shall include the SPV), in each case, consolidated balance sheets as at the close of each such period and consolidated related statements of operations, shareholder’s equity and cash flows for the period from the beginning of such fiscal year to the end of such quarter, all certified by its chief financial officer or treasurer.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18" w:right="339" w:bottom="1440" w:gutter="0" w:footer="0" w:header="0"/>
        </w:sectPr>
      </w:pPr>
    </w:p>
    <w:bookmarkStart w:id="110" w:name="page111"/>
    <w:bookmarkEnd w:id="110"/>
    <w:p>
      <w:pPr>
        <w:jc w:val="both"/>
        <w:ind w:left="1080" w:firstLine="652"/>
        <w:spacing w:after="0" w:line="263" w:lineRule="auto"/>
        <w:tabs>
          <w:tab w:leader="none" w:pos="237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Together with the financial statements required hereunder, a compliance certificate signed by Greif, Inc.’s chief financial officer or treasurer stating that (A) the attached financial statements have been prepared in accordance with GAAP and accurately reflect the financial condition of the SPV or the Originators and their respective Subsidiaries, as applicable, and (B) to the best of such Person’s knowledge, no Termination Event or Potential Termination Event exists, or if any Termination Event or Potential Termination Event exists, stating the nature and status thereof and showing the computation of, and showing compliance with, each of the financial triggers set forth in </w:t>
      </w:r>
      <w:r>
        <w:rPr>
          <w:rFonts w:ascii="Times New Roman" w:cs="Times New Roman" w:eastAsia="Times New Roman" w:hAnsi="Times New Roman"/>
          <w:sz w:val="21"/>
          <w:szCs w:val="21"/>
          <w:u w:val="single" w:color="auto"/>
          <w:color w:val="auto"/>
        </w:rPr>
        <w:t>Sections 7.5(h)</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8.1(h)</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hereof.</w:t>
      </w:r>
    </w:p>
    <w:p>
      <w:pPr>
        <w:spacing w:after="0" w:line="172" w:lineRule="exact"/>
        <w:rPr>
          <w:rFonts w:ascii="Times New Roman" w:cs="Times New Roman" w:eastAsia="Times New Roman" w:hAnsi="Times New Roman"/>
          <w:sz w:val="21"/>
          <w:szCs w:val="21"/>
          <w:color w:val="auto"/>
        </w:rPr>
      </w:pPr>
    </w:p>
    <w:p>
      <w:pPr>
        <w:jc w:val="both"/>
        <w:ind w:left="1080" w:firstLine="652"/>
        <w:spacing w:after="0" w:line="253" w:lineRule="auto"/>
        <w:tabs>
          <w:tab w:leader="none" w:pos="236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Promptly after receipt thereof, copies of all notices received by the SPV from any Originator. Promptly following any change that would result in a change to the status as an excluded Legal Entity Customer under and as defined in the Beneficial Ownership Rule, the SPV shall execute and deliver to the Agent a Beneficial Ownership Certification complying with the Beneficial Ownership Rule, in form and substance reasonably acceptable to the Agent.</w:t>
      </w:r>
    </w:p>
    <w:p>
      <w:pPr>
        <w:spacing w:after="0" w:line="178" w:lineRule="exact"/>
        <w:rPr>
          <w:rFonts w:ascii="Times New Roman" w:cs="Times New Roman" w:eastAsia="Times New Roman" w:hAnsi="Times New Roman"/>
          <w:sz w:val="22"/>
          <w:szCs w:val="22"/>
          <w:color w:val="auto"/>
        </w:rPr>
      </w:pPr>
    </w:p>
    <w:p>
      <w:pPr>
        <w:jc w:val="both"/>
        <w:ind w:left="1080" w:firstLine="652"/>
        <w:spacing w:after="0" w:line="250" w:lineRule="auto"/>
        <w:tabs>
          <w:tab w:leader="none" w:pos="237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xml:space="preserve">. So long as they include the information set forth in subclauses (i) and (ii), the timely filings by Greif, Inc. of its form 10-K and form 10-Q, respectively, will satisfy the delivery requirements set forth in such clauses. Promptly upon the filing thereof, copies of all registration statements and annual, quarterly, monthly or other regular reports and all special shareholder reports and proxy statements, if any, which any Originator or any Subsidiary thereof files with the Securities and Exchange Commission;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such reports are publicly available on the SEC’s EDGAR website or any successor thereto, physical delivery of such documents shall not be required.</w:t>
      </w:r>
    </w:p>
    <w:p>
      <w:pPr>
        <w:spacing w:after="0" w:line="193" w:lineRule="exact"/>
        <w:rPr>
          <w:rFonts w:ascii="Times New Roman" w:cs="Times New Roman" w:eastAsia="Times New Roman" w:hAnsi="Times New Roman"/>
          <w:sz w:val="22"/>
          <w:szCs w:val="22"/>
          <w:color w:val="auto"/>
        </w:rPr>
      </w:pPr>
    </w:p>
    <w:p>
      <w:pPr>
        <w:jc w:val="both"/>
        <w:ind w:left="1080" w:firstLine="652"/>
        <w:spacing w:after="0" w:line="247" w:lineRule="auto"/>
        <w:tabs>
          <w:tab w:leader="none" w:pos="236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 Events or Potential Termination Events; Etc</w:t>
      </w:r>
      <w:r>
        <w:rPr>
          <w:rFonts w:ascii="Times New Roman" w:cs="Times New Roman" w:eastAsia="Times New Roman" w:hAnsi="Times New Roman"/>
          <w:sz w:val="22"/>
          <w:szCs w:val="22"/>
          <w:color w:val="auto"/>
        </w:rPr>
        <w:t>. (A) As soon as possible and in any event within two (2) Business Days after it obtains knowledge of the occurrence of each Termination Event or Potential Termination Event, a statement of its chief financial officer or chief accounting officer setting forth details of such Termination Event or Potential Termination Event and the action which it proposes to take with respect thereto, which information shall be updated promptly from time to time upon the request of the Agent; (B) promptly after it obtains knowledge thereof, notice of any litigation, investigation or proceeding that may exist at any time between it and any Person, as to which there is a reasonable possibility of an adverse determination and that, if adversely determined, would reasonably be expected to have a Material Adverse Effect or any litigation or proceeding relating to any Transaction Document; and (C) promptly after knowledge of the occurrence thereof, notice of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020"/>
          </w:cols>
          <w:pgMar w:left="540" w:top="1422" w:right="339" w:bottom="1440" w:gutter="0" w:footer="0" w:header="0"/>
        </w:sectPr>
      </w:pPr>
    </w:p>
    <w:bookmarkStart w:id="111" w:name="page112"/>
    <w:bookmarkEnd w:id="111"/>
    <w:p>
      <w:pPr>
        <w:jc w:val="both"/>
        <w:ind w:left="1080" w:firstLine="652"/>
        <w:spacing w:after="0" w:line="257" w:lineRule="auto"/>
        <w:tabs>
          <w:tab w:leader="none" w:pos="237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Credit and Collection Policy</w:t>
      </w:r>
      <w:r>
        <w:rPr>
          <w:rFonts w:ascii="Times New Roman" w:cs="Times New Roman" w:eastAsia="Times New Roman" w:hAnsi="Times New Roman"/>
          <w:sz w:val="22"/>
          <w:szCs w:val="22"/>
          <w:color w:val="auto"/>
        </w:rPr>
        <w:t>. At least ten (10) Business Days prior to the date any material change in or amendment to the Credit and Collection Policy is made, a copy of the Credit and Collection Policy then in effect indicating such change or amendment.</w:t>
      </w:r>
    </w:p>
    <w:p>
      <w:pPr>
        <w:spacing w:after="0" w:line="186" w:lineRule="exact"/>
        <w:rPr>
          <w:rFonts w:ascii="Times New Roman" w:cs="Times New Roman" w:eastAsia="Times New Roman" w:hAnsi="Times New Roman"/>
          <w:sz w:val="22"/>
          <w:szCs w:val="22"/>
          <w:color w:val="auto"/>
        </w:rPr>
      </w:pPr>
    </w:p>
    <w:p>
      <w:pPr>
        <w:jc w:val="both"/>
        <w:ind w:left="1080" w:firstLine="652"/>
        <w:spacing w:after="0" w:line="257" w:lineRule="auto"/>
        <w:tabs>
          <w:tab w:leader="none" w:pos="2376"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Collection Policy</w:t>
      </w:r>
      <w:r>
        <w:rPr>
          <w:rFonts w:ascii="Times New Roman" w:cs="Times New Roman" w:eastAsia="Times New Roman" w:hAnsi="Times New Roman"/>
          <w:sz w:val="22"/>
          <w:szCs w:val="22"/>
          <w:color w:val="auto"/>
        </w:rPr>
        <w:t>. If so requested by the Agent, within ninety (90) days after the close of each of the Originator’s and the SPV’s fiscal years, a complete copy of the Credit and Collection Policy then in effect, if requested by any Managing Agent in writing.</w:t>
      </w:r>
    </w:p>
    <w:p>
      <w:pPr>
        <w:spacing w:after="0" w:line="172" w:lineRule="exact"/>
        <w:rPr>
          <w:rFonts w:ascii="Times New Roman" w:cs="Times New Roman" w:eastAsia="Times New Roman" w:hAnsi="Times New Roman"/>
          <w:sz w:val="22"/>
          <w:szCs w:val="22"/>
          <w:color w:val="auto"/>
        </w:rPr>
      </w:pPr>
    </w:p>
    <w:p>
      <w:pPr>
        <w:jc w:val="both"/>
        <w:ind w:left="1080" w:firstLine="652"/>
        <w:spacing w:after="0" w:line="253" w:lineRule="auto"/>
        <w:tabs>
          <w:tab w:leader="none" w:pos="236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Promptly after the filing, giving or receiving thereof, copies of all reports and notices with respect to any Reportable Event pertaining to any Pension Plan and copies of any notice by any Person of its intent to terminate any Pension Plan, and promptly upon the occurrence thereof, written notice of any contribution failure with respect to any Pension Plan sufficient to give rise to a lien under Section 303(k) of ERISA, in each case if it is reasonably likely that such occurrence would have a Material Adverse Effect.</w:t>
      </w:r>
    </w:p>
    <w:p>
      <w:pPr>
        <w:spacing w:after="0" w:line="178" w:lineRule="exact"/>
        <w:rPr>
          <w:rFonts w:ascii="Times New Roman" w:cs="Times New Roman" w:eastAsia="Times New Roman" w:hAnsi="Times New Roman"/>
          <w:sz w:val="22"/>
          <w:szCs w:val="22"/>
          <w:color w:val="auto"/>
        </w:rPr>
      </w:pPr>
    </w:p>
    <w:p>
      <w:pPr>
        <w:ind w:left="1080" w:right="20" w:firstLine="652"/>
        <w:spacing w:after="0" w:line="271" w:lineRule="auto"/>
        <w:tabs>
          <w:tab w:leader="none" w:pos="2371"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Accountants or Accounting Policy</w:t>
      </w:r>
      <w:r>
        <w:rPr>
          <w:rFonts w:ascii="Times New Roman" w:cs="Times New Roman" w:eastAsia="Times New Roman" w:hAnsi="Times New Roman"/>
          <w:sz w:val="22"/>
          <w:szCs w:val="22"/>
          <w:color w:val="auto"/>
        </w:rPr>
        <w:t>. Promptly after the occurrence thereof, notice of any change in the accountants of the SPV or any of the Originators.</w:t>
      </w:r>
    </w:p>
    <w:p>
      <w:pPr>
        <w:spacing w:after="0" w:line="157" w:lineRule="exact"/>
        <w:rPr>
          <w:rFonts w:ascii="Times New Roman" w:cs="Times New Roman" w:eastAsia="Times New Roman" w:hAnsi="Times New Roman"/>
          <w:sz w:val="22"/>
          <w:szCs w:val="22"/>
          <w:color w:val="auto"/>
        </w:rPr>
      </w:pPr>
    </w:p>
    <w:p>
      <w:pPr>
        <w:jc w:val="both"/>
        <w:ind w:left="1080" w:firstLine="652"/>
        <w:spacing w:after="0" w:line="263" w:lineRule="auto"/>
        <w:tabs>
          <w:tab w:leader="none" w:pos="2364"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Information</w:t>
      </w:r>
      <w:r>
        <w:rPr>
          <w:rFonts w:ascii="Times New Roman" w:cs="Times New Roman" w:eastAsia="Times New Roman" w:hAnsi="Times New Roman"/>
          <w:sz w:val="22"/>
          <w:szCs w:val="22"/>
          <w:color w:val="auto"/>
        </w:rPr>
        <w:t>. Such other information (including non-financial information) as the Agent, any Managing Agent or the Administrators may from time to time reasonably request with respect to any Originator, the SPV or the Servicer.</w:t>
      </w:r>
    </w:p>
    <w:p>
      <w:pPr>
        <w:spacing w:after="0" w:line="167" w:lineRule="exact"/>
        <w:rPr>
          <w:rFonts w:ascii="Times New Roman" w:cs="Times New Roman" w:eastAsia="Times New Roman" w:hAnsi="Times New Roman"/>
          <w:sz w:val="22"/>
          <w:szCs w:val="22"/>
          <w:color w:val="auto"/>
        </w:rPr>
      </w:pPr>
    </w:p>
    <w:p>
      <w:pPr>
        <w:jc w:val="both"/>
        <w:ind w:left="-220" w:firstLine="1304"/>
        <w:spacing w:after="0" w:line="253" w:lineRule="auto"/>
        <w:tabs>
          <w:tab w:leader="none" w:pos="171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 Ownership</w:t>
      </w:r>
      <w:r>
        <w:rPr>
          <w:rFonts w:ascii="Times New Roman" w:cs="Times New Roman" w:eastAsia="Times New Roman" w:hAnsi="Times New Roman"/>
          <w:sz w:val="22"/>
          <w:szCs w:val="22"/>
          <w:color w:val="auto"/>
        </w:rPr>
        <w:t>. Each of the SPV and the Servicer shall continue to engage in business of the same general types as now conducted by them (including businesses reasonably related or incidental thereto) as it is presently conducted and do all things necessary to remain duly organized, validly existing and in good standing in its jurisdiction of formation and maintain all requisite authority to conduct its business in each jurisdiction in which its business is conducted. The SPV shall at all times be a wholly-owned direct or indirect Subsidiary of Greif, Inc.</w:t>
      </w:r>
    </w:p>
    <w:p>
      <w:pPr>
        <w:spacing w:after="0" w:line="178" w:lineRule="exact"/>
        <w:rPr>
          <w:rFonts w:ascii="Times New Roman" w:cs="Times New Roman" w:eastAsia="Times New Roman" w:hAnsi="Times New Roman"/>
          <w:sz w:val="22"/>
          <w:szCs w:val="22"/>
          <w:color w:val="auto"/>
        </w:rPr>
      </w:pPr>
    </w:p>
    <w:p>
      <w:pPr>
        <w:jc w:val="both"/>
        <w:ind w:left="-220" w:firstLine="1304"/>
        <w:spacing w:after="0" w:line="256" w:lineRule="auto"/>
        <w:tabs>
          <w:tab w:leader="none" w:pos="172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 Etc</w:t>
      </w:r>
      <w:r>
        <w:rPr>
          <w:rFonts w:ascii="Times New Roman" w:cs="Times New Roman" w:eastAsia="Times New Roman" w:hAnsi="Times New Roman"/>
          <w:sz w:val="22"/>
          <w:szCs w:val="22"/>
          <w:color w:val="auto"/>
        </w:rPr>
        <w:t>. Each of the SPV and the Servicer shall comply in all material respects with all Laws to which it or its respective properties may be subject and preserve and maintain its limited liability company existence, rights, franchises, qualifications and privileges, except to the extent any non-compliance would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left="-220" w:firstLine="1304"/>
        <w:spacing w:after="0" w:line="252" w:lineRule="auto"/>
        <w:tabs>
          <w:tab w:leader="none" w:pos="1719"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Furnishing of Information and Inspection of Records</w:t>
      </w:r>
      <w:r>
        <w:rPr>
          <w:rFonts w:ascii="Times New Roman" w:cs="Times New Roman" w:eastAsia="Times New Roman" w:hAnsi="Times New Roman"/>
          <w:sz w:val="22"/>
          <w:szCs w:val="22"/>
          <w:color w:val="auto"/>
        </w:rPr>
        <w:t>. Each of the SPV and the Servicer shall furnish to the Agent and each Managing Agent from time to time such information with respect to the Affected Assets as the Agent or a Managing Agent may reasonably request, including listings identifying the Obligor and the Unpaid Balance for each Receivable. Each of the SPV and the Servicer shall, at any time and from time to time during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020"/>
          </w:cols>
          <w:pgMar w:left="540" w:top="1422" w:right="339" w:bottom="1440" w:gutter="0" w:footer="0" w:header="0"/>
        </w:sectPr>
      </w:pPr>
    </w:p>
    <w:bookmarkStart w:id="112" w:name="page113"/>
    <w:bookmarkEnd w:id="112"/>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regular business hours upon reasonable notice (which shall be at least two (2) Business Days), as requested by the Agent or a Managing Agent, permit the Agent or Managing Agent, or its agents or representatives, (i) to examine and make copies of and take abstracts from all books, records and documents (including computer tapes and disks) relating to the Receivables or other Affected Assets, including the related Contracts and (ii) to visit the offices and properties of the SPV, each Originator or the Servicer, as applicable, for the purpose of examining such materials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and to discuss matters relating to the Affected Assets or the SPV’s, each Originator’s or the Servicer’s performance hereunder, under the Contracts and under the other Transaction Documents to which such Person is a party with any of the officers, directors, employees or independent public accountants of the SPV (but only in the presence of an officer of the SPV), each Originator or the Servicer, as applicable, having knowledge of such matters;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 Termination Event or Potential Termination Event shall have occurred and be continuing, the SPV and the Servicer shall not be required to reimburse the reasonable expenses of more than one (1) such visit in the aggregate among the SPV and the Servicer per calendar year.</w:t>
      </w:r>
    </w:p>
    <w:p>
      <w:pPr>
        <w:spacing w:after="0" w:line="189" w:lineRule="exact"/>
        <w:rPr>
          <w:sz w:val="20"/>
          <w:szCs w:val="20"/>
          <w:color w:val="auto"/>
        </w:rPr>
      </w:pPr>
    </w:p>
    <w:p>
      <w:pPr>
        <w:jc w:val="both"/>
        <w:ind w:firstLine="1304"/>
        <w:spacing w:after="0" w:line="250" w:lineRule="auto"/>
        <w:tabs>
          <w:tab w:leader="none" w:pos="194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Records and Books of Account</w:t>
      </w:r>
      <w:r>
        <w:rPr>
          <w:rFonts w:ascii="Times New Roman" w:cs="Times New Roman" w:eastAsia="Times New Roman" w:hAnsi="Times New Roman"/>
          <w:sz w:val="22"/>
          <w:szCs w:val="22"/>
          <w:color w:val="auto"/>
        </w:rPr>
        <w:t>. Each of the SPV and the Servicer shall maintain and implement administrative and operating procedures (including an ability to recreate records evidencing Receivables and related Contracts in the event of the destruction of the originals thereof), and keep and maintain all documents, books, computer tapes, disks, records and other information, reasonably necessary or advisable for the collection of all Receivables (including records adequate to permit the daily identification of each new Receivable and all Collections of and adjustments to each existing Receivable). Each of the SPV and the Servicer shall give the Agent and each Managing Agent prompt notice of any material change in its administrative and operating procedures referred to in the previous sentence.</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and Compliance with Receivables, Contracts and Credit and Collection Policy</w:t>
      </w:r>
      <w:r>
        <w:rPr>
          <w:rFonts w:ascii="Times New Roman" w:cs="Times New Roman" w:eastAsia="Times New Roman" w:hAnsi="Times New Roman"/>
          <w:sz w:val="22"/>
          <w:szCs w:val="22"/>
          <w:color w:val="auto"/>
        </w:rPr>
        <w:t>. Each of the SPV and the Servicer shall, (i) at its own expense, timely and fully perform and comply with all material provisions, covenants and other promises required to be observed by it under the Contracts related to the Receivables in accordance with the Credit and Collection Policy; and (ii) timely and fully comply in all material respects with the Credit and Collection Policy in regard to each Eligible Receivable and the related Contract.</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Agent’s Interest</w:t>
      </w:r>
      <w:r>
        <w:rPr>
          <w:rFonts w:ascii="Times New Roman" w:cs="Times New Roman" w:eastAsia="Times New Roman" w:hAnsi="Times New Roman"/>
          <w:sz w:val="22"/>
          <w:szCs w:val="22"/>
          <w:color w:val="auto"/>
        </w:rPr>
        <w:t>. In the event that the SPV shall sell or otherwise transfer any interest in accounts receivable or any other financial assets (other than as contemplated by the Transaction Documents), any computer tapes or files or other documents or instruments provided by the Servicer in connection with any such sale or transfer shall disclose the SPV’s ownership of the Receivables and the Agent’s interest therein.</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Collections</w:t>
      </w:r>
      <w:r>
        <w:rPr>
          <w:rFonts w:ascii="Times New Roman" w:cs="Times New Roman" w:eastAsia="Times New Roman" w:hAnsi="Times New Roman"/>
          <w:sz w:val="22"/>
          <w:szCs w:val="22"/>
          <w:color w:val="auto"/>
        </w:rPr>
        <w:t>. The SPV and the Servicer have instructed, or shall instruct, all Obligors to cause all Collections to be deposited directly to a Blocked Account or to post office boxes to which only Blocked Account Banks have access and shall instruct the Blocked Account Banks to cause all items and amounts relating to such Collections received in such post office boxes to be removed and deposited into a Blocked Account on a daily basis.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22" w:right="339" w:bottom="1440" w:gutter="0" w:footer="0" w:header="0"/>
        </w:sectPr>
      </w:pPr>
    </w:p>
    <w:bookmarkStart w:id="113" w:name="page114"/>
    <w:bookmarkEnd w:id="113"/>
    <w:p>
      <w:pPr>
        <w:jc w:val="both"/>
        <w:ind w:firstLine="1304"/>
        <w:spacing w:after="0" w:line="257" w:lineRule="auto"/>
        <w:tabs>
          <w:tab w:leader="none" w:pos="193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Collections Received</w:t>
      </w:r>
      <w:r>
        <w:rPr>
          <w:rFonts w:ascii="Times New Roman" w:cs="Times New Roman" w:eastAsia="Times New Roman" w:hAnsi="Times New Roman"/>
          <w:sz w:val="22"/>
          <w:szCs w:val="22"/>
          <w:color w:val="auto"/>
        </w:rPr>
        <w:t xml:space="preserve">. Each of the SPV and the Servicer shall hold in trust, and deposit, promptly, but in any event not later than two (2) Business Days following its receipt thereof, to a Blocked Account or, if required by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to the Collection Account, all Collections received by it from time to time.</w:t>
      </w:r>
    </w:p>
    <w:p>
      <w:pPr>
        <w:spacing w:after="0" w:line="18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Each Blocked Account and the Collection Account shall at all times be subject to a Blocked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 Agreement.</w:t>
      </w:r>
    </w:p>
    <w:p>
      <w:pPr>
        <w:spacing w:after="0" w:line="195"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Treatment</w:t>
      </w:r>
      <w:r>
        <w:rPr>
          <w:rFonts w:ascii="Times New Roman" w:cs="Times New Roman" w:eastAsia="Times New Roman" w:hAnsi="Times New Roman"/>
          <w:sz w:val="22"/>
          <w:szCs w:val="22"/>
          <w:color w:val="auto"/>
        </w:rPr>
        <w:t>. The SPV shall not (i) treat the transactions contemplated by the First Tier Agreement in any manner other than as a sale or contribution (as applicable) of Receivables by the Originators to the SPV, except to the extent that such transactions are not recognized on account of consolidated financial reporting in accordance with GAAP or are disregarded for tax purposes or (ii) treat (other than for tax and accounting purposes) the transactions contemplated hereby in any manner other than as a sale of the Asset Interest by the SPV to the Agent on behalf of the Investors. In addition, the SPV shall disclose (in a footnote or otherwise) in all of its financial statements (including any such financial statements consolidated with any other Person’s financial statements) the existence and nature of the transaction contemplated hereby and by the First Tier Agreement and the interest of the SPV (in the case of an Originator’s financial statements) and the Agent, on behalf of the Investors, in the Affected Assets.</w:t>
      </w:r>
    </w:p>
    <w:p>
      <w:pPr>
        <w:spacing w:after="0" w:line="198" w:lineRule="exact"/>
        <w:rPr>
          <w:rFonts w:ascii="Times New Roman" w:cs="Times New Roman" w:eastAsia="Times New Roman" w:hAnsi="Times New Roman"/>
          <w:sz w:val="22"/>
          <w:szCs w:val="22"/>
          <w:color w:val="auto"/>
        </w:rPr>
      </w:pPr>
    </w:p>
    <w:p>
      <w:pPr>
        <w:ind w:right="20" w:firstLine="1304"/>
        <w:spacing w:after="0" w:line="271" w:lineRule="auto"/>
        <w:tabs>
          <w:tab w:leader="none" w:pos="193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Separate Business; Nonconsolidation</w:t>
      </w:r>
      <w:r>
        <w:rPr>
          <w:rFonts w:ascii="Times New Roman" w:cs="Times New Roman" w:eastAsia="Times New Roman" w:hAnsi="Times New Roman"/>
          <w:sz w:val="22"/>
          <w:szCs w:val="22"/>
          <w:color w:val="auto"/>
        </w:rPr>
        <w:t xml:space="preserve">. The SPV shall not (i) engage in any business not permitted by its organizational documents or (ii) conduct its business or act in any other manner which is inconsistent with </w:t>
      </w:r>
      <w:r>
        <w:rPr>
          <w:rFonts w:ascii="Times New Roman" w:cs="Times New Roman" w:eastAsia="Times New Roman" w:hAnsi="Times New Roman"/>
          <w:sz w:val="22"/>
          <w:szCs w:val="22"/>
          <w:u w:val="single" w:color="auto"/>
          <w:color w:val="auto"/>
        </w:rPr>
        <w:t>Section 4.1(w)</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The SPV shall only amend, alter, change or repeal its organizational documents with the prior written consent of the Agent.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 Interest, Etc.</w:t>
      </w:r>
      <w:r>
        <w:rPr>
          <w:rFonts w:ascii="Times New Roman" w:cs="Times New Roman" w:eastAsia="Times New Roman" w:hAnsi="Times New Roman"/>
          <w:sz w:val="22"/>
          <w:szCs w:val="22"/>
          <w:color w:val="auto"/>
        </w:rPr>
        <w:t xml:space="preserve"> The SPV shall, at its expense, take all action necessary or desirable to establish and maintain a valid and enforceable ownership or security interest in the Receivables, the Related Security and proceeds with respect thereto, and a first priority perfected security interest in the Affected Assets, in each case free and clear of any Adverse Claim, in favor of the Agent for the benefit of the Secured Parties, including taking such action to perfect, protect or more fully evidence the interest of the Agent, as any Managing Agent may request.</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of First Tier Agreement</w:t>
      </w:r>
      <w:r>
        <w:rPr>
          <w:rFonts w:ascii="Times New Roman" w:cs="Times New Roman" w:eastAsia="Times New Roman" w:hAnsi="Times New Roman"/>
          <w:sz w:val="22"/>
          <w:szCs w:val="22"/>
          <w:color w:val="auto"/>
        </w:rPr>
        <w:t>. The SPV, on its own behalf and, during the continuation of a Termination Event or Potential Termination Event, on behalf of the Agent, each Managing Agent and each Secured Party, shall promptly enforce all covenants and obligations of the Originators contained in the First Tier Agreement. During the continuation of a Termination Event or Potential Termination Event, the SPV shall deliver consents, approvals, directions, notices, waivers and take other actions under the First Tier Agreement as may be directed by any Managing Agent consistent with the SPV’s rights thereunder.</w:t>
      </w:r>
    </w:p>
    <w:p>
      <w:pPr>
        <w:spacing w:after="0" w:line="181" w:lineRule="exact"/>
        <w:rPr>
          <w:rFonts w:ascii="Times New Roman" w:cs="Times New Roman" w:eastAsia="Times New Roman" w:hAnsi="Times New Roman"/>
          <w:sz w:val="22"/>
          <w:szCs w:val="22"/>
          <w:color w:val="auto"/>
        </w:rPr>
      </w:pPr>
    </w:p>
    <w:p>
      <w:pPr>
        <w:ind w:right="20" w:firstLine="1304"/>
        <w:spacing w:after="0" w:line="284" w:lineRule="auto"/>
        <w:tabs>
          <w:tab w:leader="none" w:pos="193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Covenants</w:t>
      </w:r>
      <w:r>
        <w:rPr>
          <w:rFonts w:ascii="Times New Roman" w:cs="Times New Roman" w:eastAsia="Times New Roman" w:hAnsi="Times New Roman"/>
          <w:sz w:val="22"/>
          <w:szCs w:val="22"/>
          <w:color w:val="auto"/>
        </w:rPr>
        <w:t xml:space="preserve">. The SPV shall comply with each of the covenants set forth in the </w:t>
      </w:r>
      <w:r>
        <w:rPr>
          <w:rFonts w:ascii="Times New Roman" w:cs="Times New Roman" w:eastAsia="Times New Roman" w:hAnsi="Times New Roman"/>
          <w:sz w:val="22"/>
          <w:szCs w:val="22"/>
          <w:u w:val="single" w:color="auto"/>
          <w:color w:val="auto"/>
        </w:rPr>
        <w:t>Schedule 4.1(d)</w:t>
      </w:r>
      <w:r>
        <w:rPr>
          <w:rFonts w:ascii="Times New Roman" w:cs="Times New Roman" w:eastAsia="Times New Roman" w:hAnsi="Times New Roman"/>
          <w:sz w:val="22"/>
          <w:szCs w:val="22"/>
          <w:color w:val="auto"/>
        </w:rPr>
        <w:t xml:space="preserve"> which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114" w:name="page115"/>
    <w:bookmarkEnd w:id="114"/>
    <w:p>
      <w:pPr>
        <w:jc w:val="both"/>
        <w:ind w:firstLine="1304"/>
        <w:spacing w:after="0" w:line="249"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 of SPV</w:t>
      </w:r>
      <w:r>
        <w:rPr>
          <w:rFonts w:ascii="Times New Roman" w:cs="Times New Roman" w:eastAsia="Times New Roman" w:hAnsi="Times New Roman"/>
          <w:sz w:val="22"/>
          <w:szCs w:val="22"/>
          <w:color w:val="auto"/>
        </w:rPr>
        <w:t>. The fair value of the assets of the SPV, at a fair valuation, will, at all times prior to the Final Payout Date, exceed its debts and liabilities, subordinated, contingent or otherwise. The present fair saleable value of the property of the SPV, at all times prior to the Final Payout Date, will be greater than the amount that will be required to pay the probable liability of its debts and other liabilities, subordinated, contingent or otherwise, as such debts and other liabilities become absolute and matured. The SPV will, at all times prior to the Final Payout Date, be able to pay its debts and liabilities, subordinated, contingent or otherwise, as such debts and liabilities become absolute and matured. The SPV will not, at any time prior to the Final Payout Date, have unreasonably small capital with which to conduct the business in which it is engaged as such business is now conducted and is proposed to be conducted.</w:t>
      </w:r>
    </w:p>
    <w:p>
      <w:pPr>
        <w:spacing w:after="0" w:line="195"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Title</w:t>
      </w:r>
      <w:r>
        <w:rPr>
          <w:rFonts w:ascii="Times New Roman" w:cs="Times New Roman" w:eastAsia="Times New Roman" w:hAnsi="Times New Roman"/>
          <w:sz w:val="22"/>
          <w:szCs w:val="22"/>
          <w:color w:val="auto"/>
        </w:rPr>
        <w:t>. In the case of the SPV, upon each Investment and Reinvestment, the Agent shall acquire a valid and enforceable perfected first priority ownership interest or a first priority perfected security interest in each Eligible Receivable and all other Affected Assets that exist on the date of such Investment or Reinvestment, with respect thereto, free and clear of any Adverse Claim.</w:t>
      </w:r>
    </w:p>
    <w:p>
      <w:pPr>
        <w:spacing w:after="0" w:line="17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Regulation W</w:t>
      </w:r>
      <w:r>
        <w:rPr>
          <w:rFonts w:ascii="Times New Roman" w:cs="Times New Roman" w:eastAsia="Times New Roman" w:hAnsi="Times New Roman"/>
          <w:sz w:val="22"/>
          <w:szCs w:val="22"/>
          <w:color w:val="auto"/>
        </w:rPr>
        <w:t>. The SPV agrees to respond promptly to any reasonable requests for information related to its use of Investment proceeds to the extent required by any Investor in connection with such Investor’s determination of its compliance with Section 23A of the Federal Reserve Act (12 U.S.C. § 371c) and the Federal Reserve Board’s Regulation W (12 C.F.R. Part 223). The SPV shall not to its actual knowledge use the proceeds of any Investment hereunder to purchase any asset or securities from any Investor’s “affiliate” as such term is defined in 12 C.F.R. Part 223. In connection with each request for an Investment hereunder, the SPV shall be deemed to have represented and warranted to the Agent and Managing Agents on the date such Investment is made that, to its actual knowledge, as of such date, the proceeds of such Investment will not be used by the SPV to, directly or indirectly, either (x) purchase any asset or securities from any Investor’s “affiliate” as such term is defined in 12 C.F.R. Part 223 or (y) invest in any fund sponsored by an Investor or Affiliate thereof.</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Anti-Corruption Laws and Anti-Money Laundering Laws</w:t>
      </w:r>
      <w:r>
        <w:rPr>
          <w:rFonts w:ascii="Times New Roman" w:cs="Times New Roman" w:eastAsia="Times New Roman" w:hAnsi="Times New Roman"/>
          <w:sz w:val="22"/>
          <w:szCs w:val="22"/>
          <w:color w:val="auto"/>
        </w:rPr>
        <w:t>. Each of SPV and Servicer hereby</w:t>
      </w:r>
    </w:p>
    <w:p>
      <w:pPr>
        <w:spacing w:after="0" w:line="27" w:lineRule="exact"/>
        <w:rPr>
          <w:rFonts w:ascii="Times New Roman" w:cs="Times New Roman" w:eastAsia="Times New Roman" w:hAnsi="Times New Roman"/>
          <w:sz w:val="22"/>
          <w:szCs w:val="22"/>
          <w:color w:val="auto"/>
        </w:rPr>
      </w:pPr>
    </w:p>
    <w:p>
      <w:pPr>
        <w:jc w:val="both"/>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agrees that it shall: (a) in the event that any Affected Assets become Covered Property, promptly notify the Agent and provide to the Agent additional Affected Assets that is not Covered Property of at least equal value to the Affected Assets that became Covered Property, except to the extent prohibited by applicable Law; and (b) comply with applicable (i) International Trade Laws, (ii) Sanctions, (iii) Anti-Money Laundering Laws, in all material respects, and (iv) and Anti-Corruption Laws and maintains or is subject to policies and procedures reasonably designed to ensure compliance with all applicable International Trade Laws, Sanctions, Anti-Money Laundering Laws and Anti- Corruption Laws by each Covered Entity, each Covered Entity’s directors and officers, and any employee, agent or affiliate acting on behalf of each Covered Entity in connection with this Agreement or any other Transaction Document.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115" w:name="page116"/>
    <w:bookmarkEnd w:id="115"/>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Negative Covenants of the SPV and Servicer</w:t>
      </w:r>
      <w:r>
        <w:rPr>
          <w:rFonts w:ascii="Times New Roman" w:cs="Times New Roman" w:eastAsia="Times New Roman" w:hAnsi="Times New Roman"/>
          <w:sz w:val="22"/>
          <w:szCs w:val="22"/>
          <w:color w:val="auto"/>
        </w:rPr>
        <w:t>. At all times from the date hereof to the Final Payout Date, unless the Majority Investors shall otherwise consent in writing:</w:t>
      </w:r>
    </w:p>
    <w:p>
      <w:pPr>
        <w:spacing w:after="0" w:line="200" w:lineRule="exact"/>
        <w:rPr>
          <w:sz w:val="20"/>
          <w:szCs w:val="20"/>
          <w:color w:val="auto"/>
        </w:rPr>
      </w:pPr>
    </w:p>
    <w:p>
      <w:pPr>
        <w:spacing w:after="0" w:line="201" w:lineRule="exact"/>
        <w:rPr>
          <w:sz w:val="20"/>
          <w:szCs w:val="20"/>
          <w:color w:val="auto"/>
        </w:rPr>
      </w:pPr>
    </w:p>
    <w:p>
      <w:pPr>
        <w:jc w:val="both"/>
        <w:ind w:firstLine="1304"/>
        <w:spacing w:after="0" w:line="250"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Sales, Liens, Etc.</w:t>
      </w:r>
      <w:r>
        <w:rPr>
          <w:rFonts w:ascii="Times New Roman" w:cs="Times New Roman" w:eastAsia="Times New Roman" w:hAnsi="Times New Roman"/>
          <w:sz w:val="22"/>
          <w:szCs w:val="22"/>
          <w:color w:val="auto"/>
        </w:rPr>
        <w:t xml:space="preserve"> (i) Except as otherwise provided herein and in the First Tier Agreement, neither the SPV nor the Servicer shall sell, assign (by operation of law or otherwise) or otherwise dispose of, or create or suffer to exist any Adverse Claim upon (or the filing of any financing statement) or with respect to (A) any of the Affected Assets, or (B) any proceeds of inventory or goods, the sale of which may give rise to a Receivable, or assign any right to receive income in respect thereof and (ii) the SPV shall not issue any security to, or sell, transfer or otherwise dispose of any of its property or other assets (including the property sold to it by an Originator under Section 2.1 of the First Tier Agreement) to, any Person other than an Affiliate (which Affiliate is not a special purpose entity organized for the sole purpose of issuing asset backed securities) or as otherwise expressly provided for in the Transaction Documents.</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Extension or Amendment of Receivables</w:t>
      </w:r>
      <w:r>
        <w:rPr>
          <w:rFonts w:ascii="Times New Roman" w:cs="Times New Roman" w:eastAsia="Times New Roman" w:hAnsi="Times New Roman"/>
          <w:sz w:val="22"/>
          <w:szCs w:val="22"/>
          <w:color w:val="auto"/>
        </w:rPr>
        <w:t xml:space="preserve">. Except as otherwise permitted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neither the SPV nor the Servicer shall extend, amend or otherwise modify the terms of any Receivable, or amend, modify or waive any term or condition of any Contract related thereto.</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Change in Business or Credit and Collection Policy</w:t>
      </w:r>
      <w:r>
        <w:rPr>
          <w:rFonts w:ascii="Times New Roman" w:cs="Times New Roman" w:eastAsia="Times New Roman" w:hAnsi="Times New Roman"/>
          <w:sz w:val="22"/>
          <w:szCs w:val="22"/>
          <w:color w:val="auto"/>
        </w:rPr>
        <w:t>. Neither the SPV nor the Servicer shall make any change in the character of its business or in the Credit and Collection Policy, which change would, in either case, materially impair the collectibility of any Eligible Receivable or reasonably be expected to have a Material Adverse Effect.</w:t>
      </w:r>
    </w:p>
    <w:p>
      <w:pPr>
        <w:spacing w:after="0" w:line="16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Subsidiaries, Divisions, Mergers, Etc.</w:t>
      </w:r>
      <w:r>
        <w:rPr>
          <w:rFonts w:ascii="Times New Roman" w:cs="Times New Roman" w:eastAsia="Times New Roman" w:hAnsi="Times New Roman"/>
          <w:sz w:val="21"/>
          <w:szCs w:val="21"/>
          <w:color w:val="auto"/>
        </w:rPr>
        <w:t xml:space="preserve"> Neither the SPV nor the Servicer shall consolidate or merge with or into, or sell, lease or transfer all or substantially all of its assets to, any other Person, unless in the case of any such action by the Servicer (i) no Termination Event or Material Adverse Effect would occur or be reasonably likely to occur as a result of such transaction and (ii) such Person executes and delivers to the Agent and each Managing Agent an agreement by which such Person assumes the obligations of the Servicer hereunder and under the other Transaction Documents to which it is a party, or confirms that such obligations remain enforceable against it, together with such certificates and opinions of counsel as any Managing Agent may reasonably request. The SPV shall not form or create any Subsidiary or division or create a plan of division.</w:t>
      </w:r>
    </w:p>
    <w:p>
      <w:pPr>
        <w:spacing w:after="0" w:line="172" w:lineRule="exact"/>
        <w:rPr>
          <w:rFonts w:ascii="Times New Roman" w:cs="Times New Roman" w:eastAsia="Times New Roman" w:hAnsi="Times New Roman"/>
          <w:sz w:val="21"/>
          <w:szCs w:val="21"/>
          <w:color w:val="auto"/>
        </w:rPr>
      </w:pPr>
    </w:p>
    <w:p>
      <w:pPr>
        <w:jc w:val="both"/>
        <w:ind w:firstLine="1304"/>
        <w:spacing w:after="0" w:line="263" w:lineRule="auto"/>
        <w:tabs>
          <w:tab w:leader="none" w:pos="1941"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Payment Instructions to Obligors</w:t>
      </w:r>
      <w:r>
        <w:rPr>
          <w:rFonts w:ascii="Times New Roman" w:cs="Times New Roman" w:eastAsia="Times New Roman" w:hAnsi="Times New Roman"/>
          <w:sz w:val="21"/>
          <w:szCs w:val="21"/>
          <w:color w:val="auto"/>
        </w:rPr>
        <w:t>. Neither the SPV nor the Servicer shall add or terminate any bank as a Blocked Account Bank or any account as a Blocked Account or the Collection Account to or from those listed in Schedule 4.1(s) to the Disclosure Letter or make any change in its instructions to Obligors regarding payments to be made to any Blocked Account, unless (i) such instructions are to deposit such payments to another existing Blocked Account or to the Collection Account or (ii) the Agent shall have received written notice of such addition, termination or change at least thirty (30) days prior thereto and the Agent shall have received a Blocked Account Agreement executed by each new Blocked Account Bank or an existing Blocked Account Bank with respect to each new Blocked Account or the Collection Account, as applicable.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116" w:name="page117"/>
    <w:bookmarkEnd w:id="116"/>
    <w:p>
      <w:pPr>
        <w:jc w:val="both"/>
        <w:ind w:firstLine="1304"/>
        <w:spacing w:after="0" w:line="250" w:lineRule="auto"/>
        <w:tabs>
          <w:tab w:leader="none" w:pos="1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to Blocked Accounts</w:t>
      </w:r>
      <w:r>
        <w:rPr>
          <w:rFonts w:ascii="Times New Roman" w:cs="Times New Roman" w:eastAsia="Times New Roman" w:hAnsi="Times New Roman"/>
          <w:sz w:val="22"/>
          <w:szCs w:val="22"/>
          <w:color w:val="auto"/>
        </w:rPr>
        <w:t>. Neither the SPV nor the Servicer shall deposit or otherwise credit, or cause or permit to be so deposited or credited, to any Blocked Account or the Collection Account cash or cash proceeds other than Collections. If any Excluded Amounts are deposited or credited to any Blocked Account or the Collection Account, the SPV shall transfer such Excluded Amounts to an account of the SPV or an Originator other than the Blocked Accounts or the Collection Account within two (2) Business Days of such deposit or credit thereof to the applicable Blocked Account or the Collection Account, as applicable. The Agent and the other Secured Parties acknowledge they shall have no right, title or interest in any such Excluded Amounts.</w:t>
      </w:r>
    </w:p>
    <w:p>
      <w:pPr>
        <w:spacing w:after="0" w:line="180" w:lineRule="exact"/>
        <w:rPr>
          <w:rFonts w:ascii="Times New Roman" w:cs="Times New Roman" w:eastAsia="Times New Roman" w:hAnsi="Times New Roman"/>
          <w:sz w:val="22"/>
          <w:szCs w:val="22"/>
          <w:color w:val="auto"/>
        </w:rPr>
      </w:pPr>
    </w:p>
    <w:p>
      <w:pPr>
        <w:jc w:val="both"/>
        <w:ind w:firstLine="1304"/>
        <w:spacing w:after="0" w:line="267" w:lineRule="auto"/>
        <w:tabs>
          <w:tab w:leader="none" w:pos="1939"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Name, Etc.</w:t>
      </w:r>
      <w:r>
        <w:rPr>
          <w:rFonts w:ascii="Times New Roman" w:cs="Times New Roman" w:eastAsia="Times New Roman" w:hAnsi="Times New Roman"/>
          <w:sz w:val="21"/>
          <w:szCs w:val="21"/>
          <w:color w:val="auto"/>
        </w:rPr>
        <w:t xml:space="preserve"> The SPV shall not change its name, identity or structure (including a merger) or the location of its jurisdiction of formation or any other change which could render any UCC financing statement filed in connection with this Agreement or any other Transaction Document to become “seriously misleading” under the UCC, unless at least thirty</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465"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prior to the effective date of any such change the SPV delivers to each Managing Agent (i) such documents, instruments or agreements, executed by the SPV as are necessary to reflect such change and to continue the perfection of the Agent’s ownership interests or security interests in the Affected Assets and (ii) new or revised Blocked Account Agreements executed by the Blocked Account Banks which reflect such change and enable the Agent to continue to exercise its rights contained in </w:t>
      </w:r>
      <w:r>
        <w:rPr>
          <w:rFonts w:ascii="Times New Roman" w:cs="Times New Roman" w:eastAsia="Times New Roman" w:hAnsi="Times New Roman"/>
          <w:sz w:val="22"/>
          <w:szCs w:val="22"/>
          <w:u w:val="single" w:color="auto"/>
          <w:color w:val="auto"/>
        </w:rPr>
        <w:t>Section 7.3.</w:t>
      </w:r>
    </w:p>
    <w:p>
      <w:pPr>
        <w:spacing w:after="0" w:line="18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First Tier Agreement</w:t>
      </w:r>
      <w:r>
        <w:rPr>
          <w:rFonts w:ascii="Times New Roman" w:cs="Times New Roman" w:eastAsia="Times New Roman" w:hAnsi="Times New Roman"/>
          <w:sz w:val="22"/>
          <w:szCs w:val="22"/>
          <w:color w:val="auto"/>
        </w:rPr>
        <w:t>. The SPV shall not amend, modify, or supplement the First Tier Agreement or waive any provision thereof, in each case except with the prior written consent of the Majority Investors; nor shall the SPV take, or permit any Originator to take, any other action under the First Tier Agreement that would reasonably be expected to result in a material adverse effect on the Agent, any Managing Agent or any Investor or which is inconsistent in any material manner with the terms of this Agreement.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Organizational Documents</w:t>
      </w:r>
      <w:r>
        <w:rPr>
          <w:rFonts w:ascii="Times New Roman" w:cs="Times New Roman" w:eastAsia="Times New Roman" w:hAnsi="Times New Roman"/>
          <w:sz w:val="22"/>
          <w:szCs w:val="22"/>
          <w:color w:val="auto"/>
        </w:rPr>
        <w:t>. The SPV will not amend its Articles of Organization filed with the Secretary of the State of Delaware or any provision of its limited liability company operating agreement without the consent of the Agent.</w:t>
      </w:r>
    </w:p>
    <w:p>
      <w:pPr>
        <w:spacing w:after="0" w:line="172"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2"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Debt</w:t>
      </w:r>
      <w:r>
        <w:rPr>
          <w:rFonts w:ascii="Times New Roman" w:cs="Times New Roman" w:eastAsia="Times New Roman" w:hAnsi="Times New Roman"/>
          <w:sz w:val="22"/>
          <w:szCs w:val="22"/>
          <w:color w:val="auto"/>
        </w:rPr>
        <w:t>. Except as provided herein and the Continuing Obligations, after the date hereof, the SPV shall not create, incur, assume or suffer to exist any Indebtedness whether current or funded, or any other liability other than</w:t>
      </w:r>
    </w:p>
    <w:p>
      <w:pPr>
        <w:jc w:val="both"/>
        <w:ind w:right="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Indebtedness of the SPV representing fees, expenses and indemnities arising hereunder or under the First Tier Agreement for the purchase price of the Receivables and other Affected Assets under the First Tier Agreement, (ii) the Deferred Purchase Price payable in respect of the Receivables acquired pursuant to the First Tier Agreement and (iii) other Indebtedness incurred in the ordinary course of its business in an amount not to exceed $18,600 at any time outstanding.</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to the Originators</w:t>
      </w:r>
      <w:r>
        <w:rPr>
          <w:rFonts w:ascii="Times New Roman" w:cs="Times New Roman" w:eastAsia="Times New Roman" w:hAnsi="Times New Roman"/>
          <w:sz w:val="22"/>
          <w:szCs w:val="22"/>
          <w:color w:val="auto"/>
        </w:rPr>
        <w:t>. The SPV shall not acquire any Receivable other than through, under, and pursuant to the terms of the First Tier Agreement, through the payment by the SPV either in cash or by increase of the capital contribution of the Originators pursuant to the First Tier Agreement, by increase in the Deferred Purchase Price, in an amount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equal to the unpaid purchase price for such Receivable as required by the terms of the First Tier Agreement.</w:t>
      </w:r>
    </w:p>
    <w:p>
      <w:pPr>
        <w:spacing w:after="0" w:line="220" w:lineRule="exact"/>
        <w:rPr>
          <w:sz w:val="20"/>
          <w:szCs w:val="20"/>
          <w:color w:val="auto"/>
        </w:rPr>
      </w:pPr>
    </w:p>
    <w:p>
      <w:pPr>
        <w:jc w:val="both"/>
        <w:ind w:firstLine="1304"/>
        <w:spacing w:after="0" w:line="251" w:lineRule="auto"/>
        <w:tabs>
          <w:tab w:leader="none" w:pos="193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The SPV shall not (A) purchase or redeem any equity interest in the SPV, (B) prepay, purchase or redeem any Indebtedness, (C) lend or advance any funds or (D) repay any loans or advances to, for or from any of its Affiliates (the amounts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being referred to as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xml:space="preserve">”), except that the SPV may (1) make Restricted Payments out of funds received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(2) may make other Restricted Payments (including the payment of dividends or distributions, and payments of the Deferred Purchase Price) if, after giving effect thereto, no Termination Event or Potential Termination Event shall have occurred and be continuing.</w:t>
      </w:r>
    </w:p>
    <w:p>
      <w:pPr>
        <w:spacing w:after="0" w:line="181"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The SPV and Servicer shall not, and will not permit any Seller Party, Subsidiary of any Seller Party, or any Seller Party’s directors or officers, or any employee, or to the knowledge of any Seller Party, any of such Seller Party’s agents or affiliates acting on behalf of such Seller Party in connection with this Agreement, to: (a) become a Sanctioned Person; (b) directly or indirectly (through a third party or otherwise) provide, use, or make available the proceeds of any Investment hereunder (i) to fund or facilitate any activities or business of, with, or for the benefit of any Sanctioned Person, (ii) to fund or facilitate any activities or business of or in any Sanctioned Jurisdiction, or (iii) to act in any manner in violation of, or that could result in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 Sanctions; (d) directly or indirectly, repay in whole or in part any Investment hereunder with proceeds derived from investments in or transactions with any Sanctioned Jurisdiction or Sanctioned Person or otherwise in violation of Sanctions; or (e) do business in or with, or derive any of its income, directly or indirectly, from any Sanctioned Jurisdiction or Sanctioned Person. Neither SPV nor Servicer will, directly or indirectly, fund or facilitate any Affiliate of any Seller Party in any manner that would cause a violation of Sanctions by any party to this Agreement.</w:t>
      </w:r>
    </w:p>
    <w:p>
      <w:pPr>
        <w:spacing w:after="0" w:line="18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6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ADMINISTRATION AND COLLECTIONS</w:t>
      </w:r>
    </w:p>
    <w:p>
      <w:pPr>
        <w:spacing w:after="0" w:line="23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Appointment of Servicer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servicing, administering and collection of the Receivables shall be conducted by the Person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xml:space="preserve">”) so designated from time to time as Servicer in accordance with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Each of the SPV, the Managing Agents and the Investors hereby appoints as its agent the Servicer, from time to time designated pursuant to this Section, to enforce its respective rights and interests in and under the Affected Assets. To the extent permitted by applicable law, each of the SPV and the Originators (to the extent not then acting as Servicer hereunder and only to the extent consistent with its obligations under the First Tier Agreement) hereby grants to any Servicer appointed hereunder an irrevocable power of attorney to take any and all steps in the SPV’s and/or such Originator’s name and on behalf of the SPV or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such Originator as necessary or desirable, in the reasonable determination of the Servicer, to collect all amounts due under any and all Receivables, including endorsing the SPV’s and/or such Originator’s name on checks and other instruments representing Collections and enforcing such Receivables and the related Contracts and to take all such other actions set forth in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Until the Agent gives notice to the existing Servicer (in accordance with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of the designation of a new Servicer, the existing Servicer is hereby designated as, and hereby agrees to perform the duties and obligations of, the Servicer pursuant to the terms hereof. At any time following the occurrence and during the continuation of a Servicer Default, the Agent may upon the direction of the Majority Investors, designate as Servicer any Person (including the Agent) to succeed the initial Servicer or any successor Servicer, on the condition in each case that any such Person so designated shall agree to perform the duties and obligations of the Servicer pursuant to the terms hereof.</w:t>
      </w:r>
    </w:p>
    <w:p>
      <w:pPr>
        <w:spacing w:after="0" w:line="180" w:lineRule="exact"/>
        <w:rPr>
          <w:sz w:val="20"/>
          <w:szCs w:val="20"/>
          <w:color w:val="auto"/>
        </w:rPr>
      </w:pPr>
    </w:p>
    <w:p>
      <w:pPr>
        <w:jc w:val="both"/>
        <w:ind w:firstLine="1304"/>
        <w:spacing w:after="0" w:line="250"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designation of a successor Servicer as set forth above, the existing Servicer agrees that it will terminate its activities as Servicer hereunder in a manner which the Agent determines will facilitate the transition of the performance of such activities to the new Servicer, and the existing Servicer shall cooperate with and assist such new Servicer. Such cooperation shall include access to and transfer of records and use by the new Servicer of all records, licenses, hardware or software necessary or desirable to collect the Receivables and the Related Security.</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existing Servicer acknowledges that the SPV, the Agent, each Managing Agent and the Investors have relied on the existing Servicer’s agreement to act as Servicer hereunder in making their decision to execute and deliver this Agreement. Accordingly, the existing Servicer agrees that it will not voluntarily resign as Servicer.</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Servicer may delegate its duties and obligations hereunder to any subservicer (each, a “</w:t>
      </w:r>
      <w:r>
        <w:rPr>
          <w:rFonts w:ascii="Times New Roman" w:cs="Times New Roman" w:eastAsia="Times New Roman" w:hAnsi="Times New Roman"/>
          <w:sz w:val="22"/>
          <w:szCs w:val="22"/>
          <w:u w:val="single" w:color="auto"/>
          <w:color w:val="auto"/>
        </w:rPr>
        <w:t>Sub-Servicer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such delegation, (i) such Sub-Servicer shall agree in writing to perform the duties and obligations of the Servicer pursuant to the terms hereof, (ii) the Servicer shall remain primarily liable to the SPV, the Agent, the Managing Agents and the Investors for the performance of the duties and obligations so delegated, (iii) the SPV and the Majority Investors shall consent in writing to any material delegation of servicing duties different in scope or nature than those delegations typically made by the Servicer as of the Closing Date and (iv) the terms of any agreement with any Sub-Servicer shall provide that the Agent may terminate such agreement upon the termination of the Servicer hereunder by giving notice of its desire to terminate such agreement to the Servicer (and the Servicer shall provide appropriate notice to such Sub-Servicer).</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Duties of Servicer</w:t>
      </w:r>
      <w:r>
        <w:rPr>
          <w:rFonts w:ascii="Times New Roman" w:cs="Times New Roman" w:eastAsia="Times New Roman" w:hAnsi="Times New Roman"/>
          <w:sz w:val="22"/>
          <w:szCs w:val="22"/>
          <w:color w:val="auto"/>
        </w:rPr>
        <w:t xml:space="preserve">. (a) The Servicer shall take or cause to be taken all reasonable action as may be necessary or advisable to collect each Receivable from time to time, all in accordance with this Agreement and all applicable Law, with reasonable care and diligence, and in accordance with the Credit and Collection Policy. The Servicer shall set aside (and, if applicable, segregate) and hold in trust for the accounts of the SPV, the Agent and each Managing Agent the amount of the Collections to which each is entitled in accordance with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So long as no Termination Event or Potential Termination Event shall have occurred</w:t>
      </w: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119" w:name="page120"/>
    <w:bookmarkEnd w:id="119"/>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and be continuing, the Servicer may, in accordance with the Credit and Collection Policy, extend the maturity or adjust the Unpaid Balance of any Receivable, including any Defaulted Receivable, or amend, modify or waive any term or condition of any Contract related thereto, in each case, as the Servicer may determine to be appropriate to maximize Collections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extension, adjustment or modification shall not alter the status of such Receivable as a Defaulted Receivable or limit the rights of the SPV or any Secured Party under this Agreement and (ii) if a Termination Event or Potential Termination Event is continuing, then the Servicer may make such extension, adjustment or modification only with the approval of the Agent. The SPV shall deliver to the Servicer and the Servicer shall hold in trust for the SPV and the Agent, on behalf of the Investors, in accordance with their respective interests, all Records which evidence or relate to any Affected Asset. Notwithstanding anything to the contrary contained herein, at any time when a Termination Event is continuing, the Agent shall have the right to direct the Servicer to commence or settle any legal action to enforce collection of any Receivable or to foreclose upon or repossess any Affected Asset. The Servicer shall not make the Administrator, the Agent, any Managing Agent or any other Secured Party a party to any litigation without the prior written consent of such Person. At any time when a Termination Event exists and is continuing, the Agent may notify any Obligor of its interest in the Receivables and the other Affected Assets.</w:t>
      </w:r>
    </w:p>
    <w:p>
      <w:pPr>
        <w:spacing w:after="0" w:line="200" w:lineRule="exact"/>
        <w:rPr>
          <w:sz w:val="20"/>
          <w:szCs w:val="20"/>
          <w:color w:val="auto"/>
        </w:rPr>
      </w:pPr>
    </w:p>
    <w:p>
      <w:pPr>
        <w:spacing w:after="0" w:line="220" w:lineRule="exact"/>
        <w:rPr>
          <w:sz w:val="20"/>
          <w:szCs w:val="20"/>
          <w:color w:val="auto"/>
        </w:rPr>
      </w:pPr>
    </w:p>
    <w:p>
      <w:pPr>
        <w:jc w:val="both"/>
        <w:ind w:firstLine="1304"/>
        <w:spacing w:after="0" w:line="251"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shall, as soon as practicable following receipt thereof, turn over to the SPV all collections from any Person of indebtedness of such Person which are not on account of a Receivable. Notwithstanding anything to the contrary contained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the Servicer, if not the SPV, an Originator or any Affiliate of the SPV or an Originator, shall have no obligation to collect, enforce or take any other action described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with respect to any indebtedness that is not included in the Asset Interest other than to deliver to the SPV the Collections and documents with respect to any such indebtedness as described above in this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by an Obligor in respect of any indebtedness owed by it to an Originator shall, except as otherwise specified by such Obligor, required by contract or law or clearly indicated by facts or circumstances (including by way of example an equivalence of a payment and the amount of a particular invoice), and unless otherwise instructed by the Agent, be applied as a Collection of any Receivable of such Obligor (starting with the oldest such Receivable) to the extent of any amounts then due and payable thereunder before being applied to any other receivable or other indebtedness of such Obligor.</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Blocked Account Arrangements</w:t>
      </w:r>
      <w:r>
        <w:rPr>
          <w:rFonts w:ascii="Times New Roman" w:cs="Times New Roman" w:eastAsia="Times New Roman" w:hAnsi="Times New Roman"/>
          <w:sz w:val="22"/>
          <w:szCs w:val="22"/>
          <w:color w:val="auto"/>
        </w:rPr>
        <w:t>. Prior to the Closing Date the Servicer and SPV shall enter into Blocked Account Agreements with all of the Blocked Account Banks, and deliver original counterparts thereof to the Agent. The Agent may at any time after the occurrence and during the continuation of a Termination Event or Potential Termination Event give notice to each Blocked Account Bank that the Agent is exercising its rights under the Blocked Account Agreements to do any or all of the following: (i) to have the exclusive control of the Blocked Accounts and the Collection Account transferred to the Agent and to exercise exclusive dominion and control over the funds deposited therein, (ii) to have the proceeds that</w:t>
      </w: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are sent to the respective Blocked Accounts and the Collection Account be redirected pursuant to its instructions rather than deposited in the applicable Blocked Account or the Collection Account, and (iii) to take any or all other actions permitted under the applicable Blocked Account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Agent shall have no right, title or interest in any Excluded Amounts deposited into Blocked Accounts or the Collection Account and shall cause such Excluded Amounts to be transferred to the applicable Originator at its direction. Each of the Servicer and SPV hereby agrees that if the Agent, at any time, takes any action set forth in the preceding sentence, the Agent shall have exclusive control of the proceeds (including Collections) of all Receivables and each of the Servicer and SPV hereby further agrees to take any other action that the Agent may reasonably request to transfer such control. Except as provided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any proceeds of Receivables received by any of the Originators, the Servicer or the SPV thereafter shall be sent promptly (but in any event within two (2) Business Days of receipt) to a Blocked Account. The parties hereto hereby acknowledge that if at any time the Agent takes control of any Blocked Account or the Collection Account, the Agent shall distribute or cause to be distributed such funds in accordance with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(in each case as if such funds were held by the Servicer thereunder). The Servicer and the SPV further agree that at any time after the occurrence and during the continuation of a Termination Event or Potential Termination Event, they will not withdraw or transfer any amounts (x) from a Blocked Account, except: (i) to another Blocked Account, (ii) to the Collection Account as and when required hereunder, or (iii) otherwise with the written consent of the Agent or (y) from the Collection Account, except with the written consent of the Agent.</w:t>
      </w: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2"/>
          <w:szCs w:val="22"/>
          <w:u w:val="single" w:color="auto"/>
          <w:color w:val="auto"/>
        </w:rPr>
        <w:t>Enforcement Rights</w:t>
      </w:r>
      <w:r>
        <w:rPr>
          <w:rFonts w:ascii="Times New Roman" w:cs="Times New Roman" w:eastAsia="Times New Roman" w:hAnsi="Times New Roman"/>
          <w:sz w:val="22"/>
          <w:szCs w:val="22"/>
          <w:color w:val="auto"/>
        </w:rPr>
        <w:t>. (a) At any time following the occurrence and during the continuation of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Termination Event:</w:t>
      </w:r>
    </w:p>
    <w:p>
      <w:pPr>
        <w:spacing w:after="0" w:line="200" w:lineRule="exact"/>
        <w:rPr>
          <w:sz w:val="20"/>
          <w:szCs w:val="20"/>
          <w:color w:val="auto"/>
        </w:rPr>
      </w:pPr>
    </w:p>
    <w:p>
      <w:pPr>
        <w:spacing w:after="0" w:line="239" w:lineRule="exact"/>
        <w:rPr>
          <w:sz w:val="20"/>
          <w:szCs w:val="20"/>
          <w:color w:val="auto"/>
        </w:rPr>
      </w:pPr>
    </w:p>
    <w:p>
      <w:pPr>
        <w:ind w:left="1300" w:firstLine="652"/>
        <w:spacing w:after="0" w:line="284" w:lineRule="auto"/>
        <w:tabs>
          <w:tab w:leader="none" w:pos="258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may direct the Obligors that payment of all amounts payable under any Receivable be made directly to the Agent or its designee;</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9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shall, at the Agent’s request and at the SPV’s expense, give notice of the Agent’s, the SPV’s, and/or the Investors’ ownership of the Receivables and (in the case of the Agent) interest in the Asset Interest to each Obligor and direct that payments be made directly to the Agent or its designee, except that if the SPV fails to so notify each obligor, the Agent may so notify the Obligors; and</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9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shall, at the Agent’s request, (A) assemble all of the Records and shall make the same available to the Agent or its designee at a place selected by the Agent or its designee, and (B) segregate all cash, checks and other instruments received by it from time to time constituting Collections in a manner acceptable to the Agent and shall, promptly upon receipt, remit all such cash, checks and instruments, duly endorsed or with duly executed instruments of transfer, to the Agent or its designee.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22" w:right="339" w:bottom="1440" w:gutter="0" w:footer="0" w:header="0"/>
        </w:sectPr>
      </w:pPr>
    </w:p>
    <w:bookmarkStart w:id="121" w:name="page122"/>
    <w:bookmarkEnd w:id="121"/>
    <w:p>
      <w:pPr>
        <w:jc w:val="both"/>
        <w:ind w:firstLine="1304"/>
        <w:spacing w:after="0" w:line="248"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SPV and the Originators hereby authorizes the Agent, and irrevocably appoints the Agent as its attorney-in-fact with full power of substitution and with full authority in the place and stead of the SPV or the Originators, as applicable, which appointment is coupled with an interest, to take any and all steps in the name of the SPV or the Originators, as applicable, and on behalf of the SPV or the Originators, as applicable, necessary or desirable, in the determination of the Agent, to collect any and all amounts or portions thereof due under any and all Receivables or Related Security, including endorsing the name of the applicable Originator on checks and other instruments representing Collections and enforcing such Receivables, Related Security and the related Contracts. Notwithstanding anything to the contrary contained in this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none of the powers conferred upon such attorney-in-fact pursuant to the immediately preceding sentence shall subject such attorney-in-fact to any liability if any action taken by it shall prove to be inadequate or invalid, nor shall they confer any obligations upon such attorney-in-fact in any manner whatsoever, in each case, other than actions resulting from the gross negligence or willful misconduct of such attorney-in-fact. The Agent hereby agrees only to use such power of attorney following the occurrence and during the continuation of a Termination Event.</w:t>
      </w:r>
    </w:p>
    <w:p>
      <w:pPr>
        <w:spacing w:after="0" w:line="18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Servicer Default</w:t>
      </w:r>
      <w:r>
        <w:rPr>
          <w:rFonts w:ascii="Times New Roman" w:cs="Times New Roman" w:eastAsia="Times New Roman" w:hAnsi="Times New Roman"/>
          <w:sz w:val="22"/>
          <w:szCs w:val="22"/>
          <w:color w:val="auto"/>
        </w:rPr>
        <w:t>. The occurrence of any one or more of the following events shall constitute a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both"/>
        <w:ind w:firstLine="1304"/>
        <w:spacing w:after="0" w:line="247"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Servicer (i) shall fail to make any payment or deposit required to be made by it hereunder when due and such failure continues for one (1) Business Day or the Servicer shall fail to observe or perform any term, covenant or agreement on the Servicer’s part to be performed under </w:t>
      </w:r>
      <w:r>
        <w:rPr>
          <w:rFonts w:ascii="Times New Roman" w:cs="Times New Roman" w:eastAsia="Times New Roman" w:hAnsi="Times New Roman"/>
          <w:sz w:val="22"/>
          <w:szCs w:val="22"/>
          <w:u w:val="single" w:color="auto"/>
          <w:color w:val="auto"/>
        </w:rPr>
        <w:t>Sections 6.1(b)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conduct of business,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performance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and compliance with receivables, contracts and credit and collection policy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6.1(h)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obligor payments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6.1(i)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handling collections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6.2(a)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 sales or liens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6.2(c)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 change in business or credit and collection polic</w:t>
      </w: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6.2(d)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 subsidiaries, divisions, mergers, etc.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6.2(e)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payment instructions to obligors</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6.2(f)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deposits to lock-box accounts</w:t>
      </w:r>
      <w:r>
        <w:rPr>
          <w:rFonts w:ascii="Times New Roman" w:cs="Times New Roman" w:eastAsia="Times New Roman" w:hAnsi="Times New Roman"/>
          <w:sz w:val="22"/>
          <w:szCs w:val="22"/>
          <w:color w:val="auto"/>
        </w:rPr>
        <w:t>) (any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preceding parenthetical phrases in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are for purposes of reference only and shall not otherwise affect the meaning or interpretation of any provision hereof) and such failure continues for two (2) Business Days, (ii) shall fail to comply with </w:t>
      </w:r>
      <w:r>
        <w:rPr>
          <w:rFonts w:ascii="Times New Roman" w:cs="Times New Roman" w:eastAsia="Times New Roman" w:hAnsi="Times New Roman"/>
          <w:sz w:val="22"/>
          <w:szCs w:val="22"/>
          <w:u w:val="single" w:color="auto"/>
          <w:color w:val="auto"/>
        </w:rPr>
        <w:t>Sections 4.1(ee)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6.2(m)</w:t>
      </w:r>
      <w:r>
        <w:rPr>
          <w:rFonts w:ascii="Times New Roman" w:cs="Times New Roman" w:eastAsia="Times New Roman" w:hAnsi="Times New Roman"/>
          <w:sz w:val="22"/>
          <w:szCs w:val="22"/>
          <w:color w:val="auto"/>
        </w:rPr>
        <w:t xml:space="preserve">; or (iii) shall fail to observe or perform any other term, covenant or agreement to be observed or performed by it under </w:t>
      </w:r>
      <w:r>
        <w:rPr>
          <w:rFonts w:ascii="Times New Roman" w:cs="Times New Roman" w:eastAsia="Times New Roman" w:hAnsi="Times New Roman"/>
          <w:sz w:val="22"/>
          <w:szCs w:val="22"/>
          <w:u w:val="single" w:color="auto"/>
          <w:color w:val="auto"/>
        </w:rPr>
        <w:t>Sections 2.8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2.15</w:t>
      </w:r>
      <w:r>
        <w:rPr>
          <w:rFonts w:ascii="Times New Roman" w:cs="Times New Roman" w:eastAsia="Times New Roman" w:hAnsi="Times New Roman"/>
          <w:sz w:val="22"/>
          <w:szCs w:val="22"/>
          <w:color w:val="auto"/>
        </w:rPr>
        <w:t xml:space="preserve"> and such failure continues for two (2) Business Days, or (iv) shall fail to observe or perform in any material respect any other term, covenant or agreement hereunder or under any of the other Transaction Documents to which such Person is a party or by which such Person is bound, and such failure shall remain unremedied for fifteen (15) days after the earlier to occur of (x) receipt of notice thereof from any Managing Agent, any Investor or the Agent or (y) actual knowledge thereof by a Responsible Officer; or</w:t>
      </w:r>
    </w:p>
    <w:p>
      <w:pPr>
        <w:spacing w:after="0" w:line="18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warranty, certification or statement made by the Servicer in this Agreement or in any of the other Transaction Documents or in any certificate or report delivered by it pursuant to any of the foregoing shall prove to have been incorrect in any material respect when made or deemed made (except any representation or warranty qualified by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materiality or by reference to a material adverse effect, which shall prove to have been incorrect in any respect) when made or confirmed and such circumstance shall remain uncured for fifteen (15) days after the earlier to occur of (i) receipt of notice thereof from any Managing Agent, any Investor or the Agent or (ii) actual knowledge thereof by a Responsible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representation, warranty, or certification hereunder shall be deemed to be incorrect or violated to the extent any affected Receivable is subject to a Deemed Collection and all required amounts with respect to such Receivable have been deposited into a Blocked Account or the Collection Account; or</w:t>
      </w:r>
    </w:p>
    <w:p>
      <w:pPr>
        <w:spacing w:after="0" w:line="181" w:lineRule="exact"/>
        <w:rPr>
          <w:sz w:val="20"/>
          <w:szCs w:val="20"/>
          <w:color w:val="auto"/>
        </w:rPr>
      </w:pPr>
    </w:p>
    <w:p>
      <w:pPr>
        <w:jc w:val="both"/>
        <w:ind w:firstLine="1304"/>
        <w:spacing w:after="0" w:line="250" w:lineRule="auto"/>
        <w:tabs>
          <w:tab w:leader="none" w:pos="194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the Servicer or any of its Subsidiaries (other than the SPV) to pay when due any amounts due under any agreement under which any Indebtedness greater than $100,000,000 (or such other amount as may from time to time be set forth in each Senior Credit Agreement) is governed; or the default by the Servicer or any of its Subsidiaries in the performance of any term, provision or condition contained in any agreement under which any Indebtedness greater than $100,000,000 (or such other amount as may from time to time be set forth in each Senior Credit Agreement) was created or is governed, regardless of whether such event is an “event of default” or “default” under any such agreement; or any Indebtedness of the Servicer or any of its Subsidiaries (other than the SPV) greater than $100,000,000 (or such other amount as may from time to time be set forth in each Senior Credit Agreement) shall be declared to be due and payable or required to be prepaid (other than by a regularly scheduled payment) prior to the scheduled date of maturity thereof; or</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entered against the Servicer or any Subsidiary thereof (i) one or more final judgments or orders for the payment of money in an aggregate amount (as to all such judgments and orders) exceeding $100,000,000 (or such other amount as may from time to time be set forth in each Senior Credit Agreement) (to the extent not covered by independent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3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Bankruptcy shall occur with respect to the Servicer or any of its Material Subsidiaries;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of any financial covenant set forth in Section 7.15 of any Senior Credit Agreement has occurred and is continuing; for the avoidance of doubt, if any breach of any financial covenant set forth in Section 7.15 of any Senior Credit Agreement does not constitute an Event of Default (as defined in such Senior Credit Agreement) which is continuing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2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color w:val="auto"/>
        </w:rPr>
        <w:t>under such Senior Credit Agreement as in effect from time to time, such breach shall not constitute a Servicer Default hereunder.</w:t>
      </w:r>
    </w:p>
    <w:p>
      <w:pPr>
        <w:spacing w:after="0" w:line="23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Servicing Fee</w:t>
      </w:r>
      <w:r>
        <w:rPr>
          <w:rFonts w:ascii="Times New Roman" w:cs="Times New Roman" w:eastAsia="Times New Roman" w:hAnsi="Times New Roman"/>
          <w:sz w:val="22"/>
          <w:szCs w:val="22"/>
          <w:color w:val="auto"/>
        </w:rPr>
        <w:t xml:space="preserve">. The Servicer shall be paid a Servicing Fee in accordance with </w:t>
      </w: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auto"/>
        </w:rPr>
        <w:t xml:space="preserve"> and subject to the priorities therein.</w:t>
      </w: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7.7 </w:t>
      </w:r>
      <w:r>
        <w:rPr>
          <w:rFonts w:ascii="Times New Roman" w:cs="Times New Roman" w:eastAsia="Times New Roman" w:hAnsi="Times New Roman"/>
          <w:sz w:val="21"/>
          <w:szCs w:val="21"/>
          <w:u w:val="single" w:color="auto"/>
          <w:color w:val="auto"/>
        </w:rPr>
        <w:t>Protection of Ownership Interest of the Investors</w:t>
      </w:r>
      <w:r>
        <w:rPr>
          <w:rFonts w:ascii="Times New Roman" w:cs="Times New Roman" w:eastAsia="Times New Roman" w:hAnsi="Times New Roman"/>
          <w:sz w:val="21"/>
          <w:szCs w:val="21"/>
          <w:color w:val="auto"/>
        </w:rPr>
        <w:t>. Each of the Originators and the SPV agrees that it shall, from time to time, at its expense, promptly execute and deliver all instruments and documents and take all actions as may be necessary or as the Agent may reasonably request in order to perfect or protect the Asset Interest or to enable the Agent, each Managing Agent or the Investors to exercise or enforce any of their respective rights hereunder. Without limiting the foregoing, each of the Originators and the SPV shall, upon the request of the Agent, any Managing Agent or any of the Investors, in order to accurately reflect the transactions evidenced by the Transaction Documents, (i) execute and file such financing or continuation statements or amendments thereto or assignments thereof (as otherwise permitted to be executed and filed pursuant hereto) as may be requested by the Agent, any Managing Agent or any of the Investors and (ii) mark its respective master data processing records and other documents with a legend describing the conveyance to the Agent, for the benefit of the Secured Parties, of the Asset Interest. Each of the Originators and the SPV shall, upon request of the Agent, any Managing Agent or any of the Investors, obtain such additional search reports as the Agent, any Managing Agent or any of the Investors shall request. To the fullest extent permitted by applicable law, the Agent is hereby authorized to sign and file continuation statements and amendments thereto and assignments thereof without the SPV’s or any Originator’s signature. Carbon, photographic or other reproduction of this Agreement or any financing statement shall be sufficient as a financing statement. The SPV shall not change its name, identity or corporate (or limited liability company) structure nor change its jurisdiction of formation unless it shall have:</w:t>
      </w:r>
    </w:p>
    <w:p>
      <w:pPr>
        <w:spacing w:after="0" w:line="5" w:lineRule="exact"/>
        <w:rPr>
          <w:sz w:val="20"/>
          <w:szCs w:val="20"/>
          <w:color w:val="auto"/>
        </w:rPr>
      </w:pPr>
    </w:p>
    <w:p>
      <w:pPr>
        <w:jc w:val="both"/>
        <w:ind w:firstLine="8"/>
        <w:spacing w:after="0" w:line="249" w:lineRule="auto"/>
        <w:tabs>
          <w:tab w:leader="none" w:pos="3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the Agent at least thirty (30) days prior notice thereof and (B) prepared at the SPV’s expense and delivered to the Agent all financing statements, instruments and other documents necessary to preserve and protect the Asset Interest or requested by the Agent in connection with such change. Any filings under the UCC or otherwise that are occasioned by such change shall be made at the expense of the SPV.</w:t>
      </w:r>
    </w:p>
    <w:p>
      <w:pPr>
        <w:spacing w:after="0" w:line="200" w:lineRule="exact"/>
        <w:rPr>
          <w:sz w:val="20"/>
          <w:szCs w:val="20"/>
          <w:color w:val="auto"/>
        </w:rPr>
      </w:pPr>
    </w:p>
    <w:p>
      <w:pPr>
        <w:spacing w:after="0" w:line="2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 EVENTS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Termination Events</w:t>
      </w:r>
      <w:r>
        <w:rPr>
          <w:rFonts w:ascii="Times New Roman" w:cs="Times New Roman" w:eastAsia="Times New Roman" w:hAnsi="Times New Roman"/>
          <w:sz w:val="22"/>
          <w:szCs w:val="22"/>
          <w:color w:val="auto"/>
        </w:rPr>
        <w:t>. The occurrence of any one or more of the following events shall constitute a “</w:t>
      </w:r>
      <w:r>
        <w:rPr>
          <w:rFonts w:ascii="Times New Roman" w:cs="Times New Roman" w:eastAsia="Times New Roman" w:hAnsi="Times New Roman"/>
          <w:sz w:val="22"/>
          <w:szCs w:val="22"/>
          <w:u w:val="single" w:color="auto"/>
          <w:color w:val="auto"/>
        </w:rPr>
        <w:t>Termination Event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ind w:firstLine="1304"/>
        <w:spacing w:after="0" w:line="295" w:lineRule="auto"/>
        <w:tabs>
          <w:tab w:leader="none" w:pos="1941"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SPV or any Originator shall fail to make any payment or deposit to be made by it hereunder or under any other Transaction Document when due hereunder or thereunder and such failure shall continue for two (2) Business Days; 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22" w:right="339" w:bottom="1440" w:gutter="0" w:footer="0" w:header="0"/>
        </w:sectPr>
      </w:pPr>
    </w:p>
    <w:bookmarkStart w:id="124" w:name="page125"/>
    <w:bookmarkEnd w:id="124"/>
    <w:p>
      <w:pPr>
        <w:jc w:val="both"/>
        <w:ind w:firstLine="1304"/>
        <w:spacing w:after="0" w:line="250"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warranty, certification or statement made or deemed made by the SPV or any Originator in this Agreement, any other Transaction Document to which it is a party or in any other information, report or document delivered pursuant hereto or thereto shall prove to have been incorrect in any material respect (except any representation or warranty qualified by materiality or by reference to a material adverse effect, which shall prove to have been incorrect in any respect) when made or confirmed and such circumstance shall remain uncured for thirty (30) days after the earlier to occur of (i) receipt of notice thereof from any Managing Agent, any Investor or the Agent or (ii) actual knowledge thereof by a Responsible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representation, warranty, or certification hereunder shall be deemed to be incorrect or violated to the extent any affected Receivable is subject to a Deemed Collection and all required amounts with respect to such Receivable have been deposited into a Blocked Account or the Collection Account; or</w:t>
      </w:r>
    </w:p>
    <w:p>
      <w:pPr>
        <w:spacing w:after="0" w:line="17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SPV or any Originator (i) shall fail to perform or observe in any material respect any other term, covenant or agreement contained in this Agreement on its part to be performed or observed and any such failure remains unremedied for 10 days or (ii) shall fail to perform a covenant listed in </w:t>
      </w:r>
      <w:r>
        <w:rPr>
          <w:rFonts w:ascii="Times New Roman" w:cs="Times New Roman" w:eastAsia="Times New Roman" w:hAnsi="Times New Roman"/>
          <w:sz w:val="22"/>
          <w:szCs w:val="22"/>
          <w:u w:val="single" w:color="auto"/>
          <w:color w:val="auto"/>
        </w:rPr>
        <w:t>Section 6.1(a)(iv)</w:t>
      </w:r>
      <w:r>
        <w:rPr>
          <w:rFonts w:ascii="Times New Roman" w:cs="Times New Roman" w:eastAsia="Times New Roman" w:hAnsi="Times New Roman"/>
          <w:sz w:val="22"/>
          <w:szCs w:val="22"/>
          <w:color w:val="auto"/>
        </w:rPr>
        <w:t xml:space="preserve"> and such failure remains unremedied for 30 days after written notice thereof has been given to the SPV or any Originator by the Agent;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Bankruptcy shall occur with respect to the SPV, Greif, Inc., any Originator, or any Material</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r>
        <w:rPr>
          <w:rFonts w:ascii="Times New Roman" w:cs="Times New Roman" w:eastAsia="Times New Roman" w:hAnsi="Times New Roman"/>
          <w:sz w:val="22"/>
          <w:szCs w:val="22"/>
          <w:b w:val="1"/>
          <w:bCs w:val="1"/>
          <w:color w:val="auto"/>
        </w:rPr>
        <w:t>.</w:t>
      </w:r>
    </w:p>
    <w:p>
      <w:pPr>
        <w:spacing w:after="0" w:line="20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 on behalf of the Secured Parties, shall for any reason (other than as a result of the actions of the Agent or any of the other Secured Parties) fail or cease to have a valid and enforceable perfected first priority ownership or security interest in the Affected Assets, free and clear of any Adverse Claim (it being understood that the forgoing shall not apply to any Receivable subject to a Deemed Collection and all required amounts with respect to which have been deposited into a Blocked Account or the Collection Account); or</w:t>
      </w:r>
    </w:p>
    <w:p>
      <w:pPr>
        <w:spacing w:after="0" w:line="17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Servicer Default shall have occurred and be continuing; or</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Investment (as determined after giving effect to all distributions pursuant to this Agreement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Required Reserves shall exceed the Net Pool Balance for one (1) Business Day; or</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Three-Month Days Sales Outstanding is greater than 55; or</w:t>
      </w:r>
    </w:p>
    <w:p>
      <w:pPr>
        <w:spacing w:after="0" w:line="23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Two-Month Dilution Ratio is greater than 5.00%;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Three-Month Default Ratio is greater than 1.50%;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Three-Month Delinquency Ratio is greater than 4.50%; or</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the SPV or any Originator to pay when due any amounts due under any agreement to which any such Person is a party and under which any Indebtedness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49" w:lineRule="auto"/>
        <w:rPr>
          <w:sz w:val="20"/>
          <w:szCs w:val="20"/>
          <w:color w:val="auto"/>
        </w:rPr>
      </w:pPr>
      <w:r>
        <w:rPr>
          <w:rFonts w:ascii="Times New Roman" w:cs="Times New Roman" w:eastAsia="Times New Roman" w:hAnsi="Times New Roman"/>
          <w:sz w:val="22"/>
          <w:szCs w:val="22"/>
          <w:color w:val="auto"/>
        </w:rPr>
        <w:t>greater than $18,600 in the case of the SPV, or $100,000,000 (or such other amount as may from time to time be set forth in each Senior Credit Agreement), in the case of any Originator; or the default by the SPV or any Originator in the performance of any term, provision or condition contained in any agreement to which any such Person is a party and under which any Indebtedness owing by the SPV or any Originator greater than such respective amounts was created or is governed, regardless of whether such event is an “event of default” or “default” under any such agreement if the effect of such default is to cause, or to permit the holder of such Indebtedness to cause, such Indebtedness to become due and payable prior to its stated maturity; or any Indebtedness owing by the SPV or any Originator greater than such respective amounts shall be declared to be due and payable or required to be prepaid (other than by a regularly scheduled payment) prior to the date of maturity thereof; or</w:t>
      </w:r>
    </w:p>
    <w:p>
      <w:pPr>
        <w:spacing w:after="0" w:line="195" w:lineRule="exact"/>
        <w:rPr>
          <w:sz w:val="20"/>
          <w:szCs w:val="20"/>
          <w:color w:val="auto"/>
        </w:rPr>
      </w:pPr>
    </w:p>
    <w:p>
      <w:pPr>
        <w:ind w:left="1940" w:hanging="636"/>
        <w:spacing w:after="0"/>
        <w:tabs>
          <w:tab w:leader="none" w:pos="19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is not Solvent and each Originator ceases selling Receivables to the SPV under the First Tier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or</w:t>
      </w:r>
    </w:p>
    <w:p>
      <w:pPr>
        <w:spacing w:after="0" w:line="196" w:lineRule="exact"/>
        <w:rPr>
          <w:sz w:val="20"/>
          <w:szCs w:val="20"/>
          <w:color w:val="auto"/>
        </w:rPr>
      </w:pPr>
    </w:p>
    <w:p>
      <w:pPr>
        <w:ind w:left="1940" w:hanging="636"/>
        <w:spacing w:after="0"/>
        <w:tabs>
          <w:tab w:leader="none" w:pos="194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 Change of Control; or</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shall institute steps to terminate any Pension Plan if the assets of such Pension Plan are insufficient to satisfy all of its benefit liabilities (as determined under Title IV of ERISA), or a contribution failure occurs with respect to any Pension Plan which is sufficient to give rise to a lien under Section 303(k) of ERISA if as of the date thereof or any subsequent date, the sum of each of Greif, Inc.’s and its Subsidiaries’ various liabilities as a result of such events listed in this clause exceeds $100,000,000 (or such other amount as may from time to time be set forth in each Senior Credit Agreement) in the aggregate; or</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provision of this Agreement or any other Transaction Document to which an Originator, the Servicer or the SPV is a party shall cease to be in full force and effect or such Originator, the Servicer or the SPV shall so state in writing;</w:t>
      </w:r>
    </w:p>
    <w:p>
      <w:pPr>
        <w:spacing w:after="0" w:line="16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entered against any Originator or any Subsidiary thereof (i) one or more final judgments or orders for the payment of money in an aggregate amount (as to all such judgments and orders) exceeding $100,000,000 (or such other amount as may from time to time be set forth in each Senior Credit Agreement) (to the extent not covered by independent third-party insurance as to which the insurer is rated at least “A” by A.M. Best Company, has been notified of the potential claim and does not dispute coverage), or (ii) any one or more non-monetary final judgments that have, or would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by reason of a pending appeal or otherwise, is not in effect; or</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warranty or covenant with respect to Sanctions made or deemed made by the SPV or any Originator in this Agreement or in </w:t>
      </w:r>
      <w:r>
        <w:rPr>
          <w:rFonts w:ascii="Times New Roman" w:cs="Times New Roman" w:eastAsia="Times New Roman" w:hAnsi="Times New Roman"/>
          <w:sz w:val="22"/>
          <w:szCs w:val="22"/>
          <w:u w:val="single" w:color="auto"/>
          <w:color w:val="auto"/>
        </w:rPr>
        <w:t>Sections 5.2(s)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6.3(i)</w:t>
      </w:r>
      <w:r>
        <w:rPr>
          <w:rFonts w:ascii="Times New Roman" w:cs="Times New Roman" w:eastAsia="Times New Roman" w:hAnsi="Times New Roman"/>
          <w:sz w:val="22"/>
          <w:szCs w:val="22"/>
          <w:color w:val="auto"/>
        </w:rPr>
        <w:t xml:space="preserve"> of the First Tier Agreement or in any other information, report or document delivered pursuant hereto or thereto proves to have been incorrect when made or confirmed.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126" w:name="page127"/>
    <w:bookmarkEnd w:id="126"/>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8.2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During the continuation of any Termination Event, the Agent may, or at the direction of the Majority Investors shall, by notice to the SPV and the Servicer, declare the Termination Date to have occurred;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event described in </w:t>
      </w:r>
      <w:r>
        <w:rPr>
          <w:rFonts w:ascii="Times New Roman" w:cs="Times New Roman" w:eastAsia="Times New Roman" w:hAnsi="Times New Roman"/>
          <w:sz w:val="22"/>
          <w:szCs w:val="22"/>
          <w:u w:val="single" w:color="auto"/>
          <w:color w:val="auto"/>
        </w:rPr>
        <w:t>Section 8.1(d)</w:t>
      </w:r>
      <w:r>
        <w:rPr>
          <w:rFonts w:ascii="Times New Roman" w:cs="Times New Roman" w:eastAsia="Times New Roman" w:hAnsi="Times New Roman"/>
          <w:sz w:val="22"/>
          <w:szCs w:val="22"/>
          <w:color w:val="auto"/>
        </w:rPr>
        <w:t>, the Termination Date shall be deemed to have occurred automatically upon the occurrence of such event. Upon any such declaration or automatic occurrence, the Agent shall have, in addition to all other rights and remedies under this Agreement or otherwise, all other rights and remedies provided under the UCC of the applicable jurisdiction and other applicable laws, all of which rights shall be cumulative.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EXPENSES; RELATED MATTERS</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Indemnities by the SPV</w:t>
      </w:r>
      <w:r>
        <w:rPr>
          <w:rFonts w:ascii="Times New Roman" w:cs="Times New Roman" w:eastAsia="Times New Roman" w:hAnsi="Times New Roman"/>
          <w:sz w:val="22"/>
          <w:szCs w:val="22"/>
          <w:color w:val="auto"/>
        </w:rPr>
        <w:t>. Without limiting any other rights which the Indemnified Parties may have hereunder or under applicable Law, the SPV hereby agrees to indemnify the Investors, the Agent, each Managing Agent, each Administrator, the Program Support Providers, and their respective officers, directors, employees, counsel and other agents (collectively, “</w:t>
      </w:r>
      <w:r>
        <w:rPr>
          <w:rFonts w:ascii="Times New Roman" w:cs="Times New Roman" w:eastAsia="Times New Roman" w:hAnsi="Times New Roman"/>
          <w:sz w:val="22"/>
          <w:szCs w:val="22"/>
          <w:u w:val="single" w:color="auto"/>
          <w:color w:val="auto"/>
        </w:rPr>
        <w:t>Indemnified Parties</w:t>
      </w:r>
      <w:r>
        <w:rPr>
          <w:rFonts w:ascii="Times New Roman" w:cs="Times New Roman" w:eastAsia="Times New Roman" w:hAnsi="Times New Roman"/>
          <w:sz w:val="22"/>
          <w:szCs w:val="22"/>
          <w:color w:val="auto"/>
        </w:rPr>
        <w:t>”) from and against any and all damages, losses, claims, liabilities, costs and expenses, including reasonable attorneys’ fees (which attorneys may be employees of the Indemnified Parties) and disbursements (all of the foregoing being collectively referred to as “</w:t>
      </w:r>
      <w:r>
        <w:rPr>
          <w:rFonts w:ascii="Times New Roman" w:cs="Times New Roman" w:eastAsia="Times New Roman" w:hAnsi="Times New Roman"/>
          <w:sz w:val="22"/>
          <w:szCs w:val="22"/>
          <w:u w:val="single" w:color="auto"/>
          <w:color w:val="auto"/>
        </w:rPr>
        <w:t>Indemnified Amounts</w:t>
      </w:r>
      <w:r>
        <w:rPr>
          <w:rFonts w:ascii="Times New Roman" w:cs="Times New Roman" w:eastAsia="Times New Roman" w:hAnsi="Times New Roman"/>
          <w:sz w:val="22"/>
          <w:szCs w:val="22"/>
          <w:color w:val="auto"/>
        </w:rPr>
        <w:t xml:space="preserve">”) awarded against or incurred by any of them in any action or proceeding between the SPV or any Originator (including any Originator in its capacity as the Servicer or any Affiliate of an Originator acting as Servicer) and any of the Indemnified Parties or between any of the Indemnified Parties and any third party, in each case arising out of or as a result of this Agreement, the other Transaction Documents, the ownership or maintenance, either directly or indirectly, by the Agent, any Managing Agent or any Investor of the Asset Interest or any of the other transactions contemplated hereby or thereby, excluding, however, (i) Indemnified Amounts to the extent resulting from gross negligence or willful misconduct on the part of such Indemnified Party, as finally determined by a court of competent jurisdiction, (ii) recourse for uncollectible Receivables or (iii) any Taxes which are covered by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or any Excluded Taxes. Without limiting the generality of the foregoing, the SPV shall indemnify each Indemnified Party for Indemnified Amounts relating to or resulting from:</w:t>
      </w:r>
    </w:p>
    <w:p>
      <w:pPr>
        <w:spacing w:after="0" w:line="200" w:lineRule="exact"/>
        <w:rPr>
          <w:sz w:val="20"/>
          <w:szCs w:val="20"/>
          <w:color w:val="auto"/>
        </w:rPr>
      </w:pPr>
    </w:p>
    <w:p>
      <w:pPr>
        <w:spacing w:after="0" w:line="242" w:lineRule="exact"/>
        <w:rPr>
          <w:sz w:val="20"/>
          <w:szCs w:val="20"/>
          <w:color w:val="auto"/>
        </w:rPr>
      </w:pPr>
    </w:p>
    <w:p>
      <w:pPr>
        <w:jc w:val="both"/>
        <w:ind w:firstLine="1304"/>
        <w:spacing w:after="0" w:line="248" w:lineRule="auto"/>
        <w:tabs>
          <w:tab w:leader="none" w:pos="194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SPV, any Originator (including any Affiliate of any Originator in its capacity as the Servicer) or any officers of the SPV, any Originator (including, in its capacity as the Servicer or any Affiliate of an Originator acting as Servicer) under or in connection with this Agreement, the First Tier Agreement, any of the other Transaction Documents, any Servicer Report or any other information or report delivered by the SPV, the Servicer or any Originator pursuant hereto, or pursuant to any of the other Transaction Documents which shall have been incomplete, false or incorrect in any respect when made or deemed made;</w:t>
      </w:r>
    </w:p>
    <w:p>
      <w:pPr>
        <w:spacing w:after="0" w:line="200"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SPV or any Originator (including, in its capacity as the Servicer or any Affiliate of an Originator acting as Servicer) to comply with any applicable Law</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127" w:name="page128"/>
    <w:bookmarkEnd w:id="127"/>
    <w:p>
      <w:pPr>
        <w:spacing w:after="0" w:line="271" w:lineRule="auto"/>
        <w:rPr>
          <w:sz w:val="20"/>
          <w:szCs w:val="20"/>
          <w:color w:val="auto"/>
        </w:rPr>
      </w:pPr>
      <w:r>
        <w:rPr>
          <w:rFonts w:ascii="Times New Roman" w:cs="Times New Roman" w:eastAsia="Times New Roman" w:hAnsi="Times New Roman"/>
          <w:sz w:val="22"/>
          <w:szCs w:val="22"/>
          <w:color w:val="auto"/>
        </w:rPr>
        <w:t>with respect to any Receivable or the related Contract, or the nonconformity of any Receivable or the related Contract with any such applicable Law;</w:t>
      </w:r>
    </w:p>
    <w:p>
      <w:pPr>
        <w:spacing w:after="0" w:line="158" w:lineRule="exact"/>
        <w:rPr>
          <w:sz w:val="20"/>
          <w:szCs w:val="20"/>
          <w:color w:val="auto"/>
        </w:rPr>
      </w:pPr>
    </w:p>
    <w:p>
      <w:pPr>
        <w:jc w:val="both"/>
        <w:ind w:firstLine="1304"/>
        <w:spacing w:after="0" w:line="256"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(i) to vest and maintain vested in the Agent, on behalf of the Secured Parties, a first priority, perfected ownership interest in the Asset Interest free and clear of any Adverse Claim or (ii) to create or maintain a valid and perfected first priority security interest in favor of the Agent, for the benefit of the Secured Parties, in the Affected Assets, free and clear of any Adverse Claim, in each case, other than as a result of actions of the Agent or any other Secured Party;</w:t>
      </w:r>
    </w:p>
    <w:p>
      <w:pPr>
        <w:spacing w:after="0" w:line="17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the Agent, the failure by the SPV, any Originator or the Servicer to file, or any delay in filing, financing statements, continuation statements, or other similar instruments or documents under the UCC of any applicable jurisdiction or other applicable laws with respect to any of the Affected Assets;</w:t>
      </w:r>
    </w:p>
    <w:p>
      <w:pPr>
        <w:spacing w:after="0" w:line="16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claim, offset or defense (other than discharge in bankruptcy or uncollectibility of a Receivable from the related Obligor) of the Obligor to the payment of any Receivable (including a defense based on such Receivable or the related Contract not being the legal, valid and binding obligation of such Obligor enforceable against it in accordance with its terms), or any other claim resulting from the sale of merchandise or services related to such Receivable or the furnishing or failure to furnish such merchandise or services, or from any breach or alleged breach of any provision of the Receivables or the related Contracts restricting assignment of any Receivables;</w:t>
      </w:r>
    </w:p>
    <w:p>
      <w:pPr>
        <w:spacing w:after="0" w:line="18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Servicer to perform its duties or obligations in accordance with the provisions hereof;</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products liability claim or personal injury or property damage suit or other similar or related claim or action of whatever sort arising out of or in connection with merchandise or services which are the subject of any Receivable;</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SPV or any of the Originators to comply with any term, provision or covenant contained in this Agreement or any of the other Transaction Documents to which it is a party or to perform any of its respective duties or obligations under the Receivables or related Contracts;</w:t>
      </w:r>
    </w:p>
    <w:p>
      <w:pPr>
        <w:spacing w:after="0" w:line="167" w:lineRule="exact"/>
        <w:rPr>
          <w:rFonts w:ascii="Times New Roman" w:cs="Times New Roman" w:eastAsia="Times New Roman" w:hAnsi="Times New Roman"/>
          <w:sz w:val="22"/>
          <w:szCs w:val="22"/>
          <w:color w:val="auto"/>
        </w:rPr>
      </w:pPr>
    </w:p>
    <w:p>
      <w:pPr>
        <w:ind w:right="20" w:firstLine="1304"/>
        <w:spacing w:after="0" w:line="271" w:lineRule="auto"/>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Net Investment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Required Reserves exceeding the Net Pool Balance at any time (other than as a result of the uncollectibility of any Receivable);</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SPV or any Originator to pay when due any sales, excise or personal property taxes payable in connection with any of the Receivables;</w:t>
      </w:r>
    </w:p>
    <w:p>
      <w:pPr>
        <w:spacing w:after="0" w:line="143"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repayment by any Indemnified Party of any amount previously distributed in reduction of Net Investment which such Indemnified Party believes in good faith is required to be made;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22" w:right="339" w:bottom="1440" w:gutter="0" w:footer="0" w:header="0"/>
        </w:sectPr>
      </w:pPr>
    </w:p>
    <w:bookmarkStart w:id="128" w:name="page129"/>
    <w:bookmarkEnd w:id="128"/>
    <w:p>
      <w:pPr>
        <w:ind w:left="1940" w:hanging="636"/>
        <w:spacing w:after="0"/>
        <w:tabs>
          <w:tab w:leader="none" w:pos="194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commingling by the SPV, any Originator or the Servicer of Collections at any time with any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funds;</w:t>
      </w:r>
    </w:p>
    <w:p>
      <w:pPr>
        <w:spacing w:after="0" w:line="196" w:lineRule="exact"/>
        <w:rPr>
          <w:sz w:val="20"/>
          <w:szCs w:val="20"/>
          <w:color w:val="auto"/>
        </w:rPr>
      </w:pPr>
    </w:p>
    <w:p>
      <w:pPr>
        <w:jc w:val="both"/>
        <w:ind w:firstLine="1304"/>
        <w:spacing w:after="0" w:line="263" w:lineRule="auto"/>
        <w:tabs>
          <w:tab w:leader="none" w:pos="1932"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investigation, litigation or proceeding related to this Agreement, any of the other Transaction Documents, the use of proceeds of Investments by the SPV or any Originator, the ownership of the Asset Interest, or any Affected Asset;</w:t>
      </w:r>
    </w:p>
    <w:p>
      <w:pPr>
        <w:spacing w:after="0" w:line="16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any Blocked Account Bank to remit any amounts held in the Blocked Accounts or any related lock-boxes or the Collection Account pursuant to the instructions of the Servicer, the SPV, any Originator or the Agent (to the extent such Person is entitled to give such instructions in accordance with the terms hereof and of any applicable Blocked Account Agreement) whether by reason of the exercise of set-off rights or otherwise, or any claim or demand for indemnification made by any Blocked Account Bank to any Indemnified Party pursuant to any Blocked Account Agreement;</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inability to obtain any judgment in or utilize the court or other adjudication system of, any state in which an Obligor may be located as a result of the failure of the SPV, the Servicer or any Originator to qualify to do business or file any notice of business activity report or any similar report;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attempt by any Person to void, rescind or set-aside any transfer by any Originator to the SPV of any Receivable or Related Security under statutory provisions or common law or equitable action, including any provision of the Bankruptcy Code or other insolvency law;</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the SPV, any Originator, or the Servicer (if the Servicer is an Originator or any Affiliate or designee of an Originator) in the enforcement or collection of any Receivable (unless such action is directed by the Agent or the Investors in bad faith or with gross negligence or willful misconduct); or</w:t>
      </w:r>
    </w:p>
    <w:p>
      <w:pPr>
        <w:spacing w:after="0" w:line="18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the proceeds of any Investment or Reinvestment.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Indemnities by the Servicer</w:t>
      </w:r>
      <w:r>
        <w:rPr>
          <w:rFonts w:ascii="Times New Roman" w:cs="Times New Roman" w:eastAsia="Times New Roman" w:hAnsi="Times New Roman"/>
          <w:sz w:val="22"/>
          <w:szCs w:val="22"/>
          <w:color w:val="auto"/>
        </w:rPr>
        <w:t>. Without limiting any other rights which the Servicer Indemnified Parties may have hereunder or under applicable Law, the Servicer hereby agrees, to indemnify the Indemnified Parties and their successors, transferees and assigns and all officers, directors, shareholders, controlling persons, employees, counsel and other agents of any of the foregoing (collectively, “</w:t>
      </w:r>
      <w:r>
        <w:rPr>
          <w:rFonts w:ascii="Times New Roman" w:cs="Times New Roman" w:eastAsia="Times New Roman" w:hAnsi="Times New Roman"/>
          <w:sz w:val="22"/>
          <w:szCs w:val="22"/>
          <w:u w:val="single" w:color="auto"/>
          <w:color w:val="auto"/>
        </w:rPr>
        <w:t>Servicer Indemnified Parties</w:t>
      </w:r>
      <w:r>
        <w:rPr>
          <w:rFonts w:ascii="Times New Roman" w:cs="Times New Roman" w:eastAsia="Times New Roman" w:hAnsi="Times New Roman"/>
          <w:sz w:val="22"/>
          <w:szCs w:val="22"/>
          <w:color w:val="auto"/>
        </w:rPr>
        <w:t>”) from and against any and all damages, losses, claims, liabilities, costs and expenses, including reasonable attorneys’ fees (which attorneys may be employees of any Servicer Indemnified Party) and disbursements (all of the foregoing being collectively referred to as “</w:t>
      </w:r>
      <w:r>
        <w:rPr>
          <w:rFonts w:ascii="Times New Roman" w:cs="Times New Roman" w:eastAsia="Times New Roman" w:hAnsi="Times New Roman"/>
          <w:sz w:val="22"/>
          <w:szCs w:val="22"/>
          <w:u w:val="single" w:color="auto"/>
          <w:color w:val="auto"/>
        </w:rPr>
        <w:t>Servicer Indemnified Amounts</w:t>
      </w:r>
      <w:r>
        <w:rPr>
          <w:rFonts w:ascii="Times New Roman" w:cs="Times New Roman" w:eastAsia="Times New Roman" w:hAnsi="Times New Roman"/>
          <w:sz w:val="22"/>
          <w:szCs w:val="22"/>
          <w:color w:val="auto"/>
        </w:rPr>
        <w:t xml:space="preserve">”) awarded against or incurred by any of them in any action or proceeding between the Servicer and any of the Servicer Indemnified Parties or between any of the Servicer Indemnified Parties and any third party arising out of the following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excluding however, (i) Servicer Indemnified Amounts to the extent resulting from gross negligence or willful misconduct on the part of such Servicer Indemnified Party, as finally determined by a court of competent jurisdiction, (ii) recourse for uncollectible Receivables or (iii) any Taxes which are covered by</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22" w:right="339" w:bottom="1440" w:gutter="0" w:footer="0" w:header="0"/>
        </w:sectPr>
      </w:pPr>
    </w:p>
    <w:bookmarkStart w:id="129" w:name="page130"/>
    <w:bookmarkEnd w:id="129"/>
    <w:p>
      <w:pPr>
        <w:spacing w:after="0" w:line="254" w:lineRule="auto"/>
        <w:rPr>
          <w:sz w:val="20"/>
          <w:szCs w:val="20"/>
          <w:color w:val="auto"/>
        </w:rPr>
      </w:pP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or any Excluded Taxes. The Servicer shall indemnify each Servicer Indemnified Party for Servicer Indemnified Amounts relating to or resulting from:</w:t>
      </w:r>
    </w:p>
    <w:p>
      <w:pPr>
        <w:spacing w:after="0" w:line="2" w:lineRule="exact"/>
        <w:rPr>
          <w:sz w:val="20"/>
          <w:szCs w:val="20"/>
          <w:color w:val="auto"/>
        </w:rPr>
      </w:pPr>
    </w:p>
    <w:p>
      <w:pPr>
        <w:jc w:val="both"/>
        <w:ind w:firstLine="1304"/>
        <w:spacing w:after="0" w:line="249" w:lineRule="auto"/>
        <w:tabs>
          <w:tab w:leader="none" w:pos="194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the Servicer or any of its officers under or in connection with this Agreement, any of the other Transaction Documents, any Servicer Report or any other information or report delivered by the Servicer pursuant hereto, or pursuant to any of the other Transaction Documents which shall have been incomplete, false or incorrect in any respect when made or confirmed;</w:t>
      </w:r>
    </w:p>
    <w:p>
      <w:pPr>
        <w:spacing w:after="0" w:line="18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Servicer to comply with any applicable Law with respect to any Receivable or the related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Contract;</w:t>
      </w:r>
    </w:p>
    <w:p>
      <w:pPr>
        <w:spacing w:after="0" w:line="20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4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Servicer to file, or any delay in filing, financing statements, continuation statements, or other similar instruments or documents under the UCC of any applicable jurisdiction or other applicable laws with respect to any of the Affected Assets, if such filings were previously requested in writing to be filed by the Agent;</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Servicer to perform its duties or obligations in accordance with the provisions hereof;</w:t>
      </w:r>
    </w:p>
    <w:p>
      <w:pPr>
        <w:spacing w:after="0" w:line="21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Servicer to comply with any term, provision or covenant contained in this Agreement or any of the other Transaction Documents to which it is a party or to perform any of its servicing duties or obligations under the Receivables or related Contracts;</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commingling by the Servicer of Collections at any time with any other funds;</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inability to obtain any judgment in or utilize the court or other adjudication system of, any state in which an Obligor may be located as a result of the failure of the Servicer to qualify to do business or file any notice of business activity report or any similar report;</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claim, offset or defense of an Obligor to the payment of any Receivable resulting from or related to the collection activities of the Servicer in respect of such Receivable (unless such action is directed by the Agent or Investors in bad faith or with gross negligence or willful misconduct);</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93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by the Servicer in the enforcement or collection of any Receivable (unless such action is directed by the Agent or Investors in bad faith or with gross negligence or willful misconduct); or</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93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or demand for indemnification made by any Blocked Account Bank to any Indemnified Party pursuant to any Blocked Account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Indemnity for Taxes, Reserves and Expenses</w:t>
      </w:r>
      <w:r>
        <w:rPr>
          <w:rFonts w:ascii="Times New Roman" w:cs="Times New Roman" w:eastAsia="Times New Roman" w:hAnsi="Times New Roman"/>
          <w:sz w:val="22"/>
          <w:szCs w:val="22"/>
          <w:color w:val="auto"/>
        </w:rPr>
        <w:t>. (a) If after the Closing Date, (w) the adoption of any Law or bank regulatory guideline or any amendment or change in the administration, interpretation or application of any existing or future Law or bank regulatory</w:t>
      </w: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guideline by any Official Body charged with the administration, interpretation or application thereof (including, without limitation, any issuance pursuant to any Existing Law of any regulation that is not in effect on the date hereof or the application or implementation of any Existing Law, whether or not in effect on the date hereof, with respect to any Indemnified Party), (x) any directive, guidance or request of any Official Body (in the case of any bank regulatory guideline, whether or not having the force of Law), (y) the compliance of the Indemnified Party with, or the application or implementation by the Indemnified Party of, any of the foregoing </w:t>
      </w:r>
      <w:r>
        <w:rPr>
          <w:rFonts w:ascii="Times New Roman" w:cs="Times New Roman" w:eastAsia="Times New Roman" w:hAnsi="Times New Roman"/>
          <w:sz w:val="22"/>
          <w:szCs w:val="22"/>
          <w:u w:val="single" w:color="auto"/>
          <w:color w:val="auto"/>
        </w:rPr>
        <w:t>subclauses (w)</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xml:space="preserve"> any change as determined in the reasonable discretion of the Indemnified Party after the date hereof, in the compliance of the Indemnified Party with, or the application or implementation by the Indemnified Party of, any Existing Law (a “</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w:t>
      </w:r>
    </w:p>
    <w:p>
      <w:pPr>
        <w:jc w:val="both"/>
        <w:ind w:left="1300" w:firstLine="652"/>
        <w:spacing w:after="0" w:line="246" w:lineRule="auto"/>
        <w:tabs>
          <w:tab w:leader="none" w:pos="258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subject any Indemnified Party (or its applicable lending office) to any Taxes, duty or other charge (other than Taxes which are covered by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or Excluded Taxes) with respect to this Agreement, the other Transaction Documents, the ownership, maintenance or financing of the Asset Interest, or payments of amounts due hereunder, or shall change the basis of taxation of payments to any Indemnified Party of amounts payable in respect of this Agreement, the other Transaction Documents, the ownership, maintenance or financing of the Asset Interest, or payments of amounts due hereunder or its obligation to advance funds hereunder, under a Program Support Agreement or the credit or liquidity support furnished by a Program Support Provider or otherwise in respect of this Agreement, the other Transaction Documents, the ownership, maintenance or financing of the Asset Interest (except for Taxes which are covered by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and the imposition or changes in the rate of any Excluded Tax imposed on such Indemnified Party); or</w:t>
      </w:r>
    </w:p>
    <w:p>
      <w:pPr>
        <w:spacing w:after="0" w:line="189"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9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modify or deem applicable any reserve, special deposit or similar requirement (including any such requirement imposed by the Board of Governors of the Federal Reserve System) against assets of, deposits with or for the account of, or credit extended by, any Indemnified Party or shall impose on any Indemnified Party or on the United States market for certificates of deposit or the London interbank market any other condition affecting this Agreement, the other Transaction Documents, the ownership, maintenance or financing of the Asset Interest, or payments of amounts due hereunder or its obligation to advance funds hereunder, under a Program Support Agreement or the credit or liquidity support provided by a Program Support Provider or otherwise in respect of this Agreement, the other Transaction Documents, or the ownership, maintenance or financing of the Asset Interest; or</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9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upon any Indemnified Party any other condition or expense (including any loss of margin, reasonable attorneys’ fees and expenses, and expenses of litigation or preparation therefor in contesting any of the foregoing, but excluding Taxes and Excluded Taxes) with respect to this Agreement, the other Transaction Documents, the ownership, maintenance or financing of the Asset Interest, or payments of amounts due hereunder or its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131" w:name="page132"/>
    <w:bookmarkEnd w:id="131"/>
    <w:p>
      <w:pPr>
        <w:jc w:val="both"/>
        <w:ind w:left="1300"/>
        <w:spacing w:after="0" w:line="257" w:lineRule="auto"/>
        <w:rPr>
          <w:sz w:val="20"/>
          <w:szCs w:val="20"/>
          <w:color w:val="auto"/>
        </w:rPr>
      </w:pPr>
      <w:r>
        <w:rPr>
          <w:rFonts w:ascii="Times New Roman" w:cs="Times New Roman" w:eastAsia="Times New Roman" w:hAnsi="Times New Roman"/>
          <w:sz w:val="22"/>
          <w:szCs w:val="22"/>
          <w:color w:val="auto"/>
        </w:rPr>
        <w:t>obligation to advance funds hereunder or under a Program Support Agreement or the credit or liquidity support furnished by a Program Support Provider or otherwise in respect of this Agreement, the other Transaction Documents, or the ownership, maintenance or financing of the Asset Interests;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the result of any of the foregoing is to increase the cost to, or to reduce the amount of any sum received or receivable by, such Indemnified Party with respect to this Agreement, the other Transaction Documents, the ownership, maintenance or financing of the Asset Interest, the Receivables, the obligations hereunder, the funding of any Investments hereunder or under a Program Support Agreement, by an amount deemed by such Indemnified Party to be material, then, on the next Settlement Date occurring at least ten (10) days after the demand by such Indemnified Party through the applicable Managing Agent, the SPV shall pay to the applicable Managing Agent, for the benefit of such Indemnified Party, such additional amount or amounts as will compensate such Indemnified Party for such increased cost or reduction.</w:t>
      </w:r>
    </w:p>
    <w:p>
      <w:pPr>
        <w:spacing w:after="0" w:line="180" w:lineRule="exact"/>
        <w:rPr>
          <w:sz w:val="20"/>
          <w:szCs w:val="20"/>
          <w:color w:val="auto"/>
        </w:rPr>
      </w:pPr>
    </w:p>
    <w:p>
      <w:pPr>
        <w:jc w:val="both"/>
        <w:ind w:firstLine="1304"/>
        <w:spacing w:after="0" w:line="247" w:lineRule="auto"/>
        <w:tabs>
          <w:tab w:leader="none" w:pos="193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Indemnified Party shall have determined that after the date hereof, (i) the adoption of any applicable Law, bank regulatory guideline regarding capital adequacy or liquidity requirements, or generally accepted accounting standard, or any change therein, or any change in the interpretation or administration thereof by any Official Body, (including, without limitation, any issuance pursuant to any Existing Law of any regulation that is not in effect on the date hereof), (ii) any guidance, request or directive regarding capital adequacy or liquidity requirements (in the case of any bank regulatory guideline, whether or not having the force of law) of any such Official Body, or (iii) the compliance of the Indemnified Party with, or the application or implementation by the Indemnified Party of, any of the foregoing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any change as determined in the reasonable discretion of the Indemnified Party, after the date hereof, in the compliance of the Indemnified Party with, or the application or implementation by the Indemnified Party of, any Existing Law, has or would have the effect of reducing the rate of return on capital of such Indemnified Party (or its parent) as a consequence of such Indemnified Party’s obligations hereunder or with respect hereto to a level below that which such Indemnified Party (or its parent) could have achieved but for the occurrences described in the foregoing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(taking into consideration its policies with respect to capital adequacy or liquidity requirements) by an amount deemed by such Indemnified Party to be material, then on the next Settlement Date occurring at least ten (10) days after demand, in the form of a notice as set forth in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below, by such Indemnified Party through the Agent or the applicable Managing Agent, the SPV shall pay to the applicable Managing Agent, for the benefit of such Indemnified Party, such additional amount or amounts as will compensate such Indemnified Party (or its parent) for such reduction.</w:t>
      </w:r>
    </w:p>
    <w:p>
      <w:pPr>
        <w:spacing w:after="0" w:line="19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Indemnified Party shall, as soon as practicable, notify the SPV in writing of any event of which it has knowledge, occurring after the date hereof for which such Indemnified Party will or will likely seek compensation pursuant to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failure to give or any delay in giving such notice shall affect the Indemnified Party’s right to receive such compensation. A notice by the Agent or a Managing Agent on behalf of the applicable Indemnified Party claiming compensation under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and setting forth the additional amount or amounts to be paid to it hereunder shall be conclusive in the absence of</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manifest error. In determining such amount, the Agent or any applicable Indemnified Party may use any reasonable averaging and attributing methods and shall have applied consistent return metrics to other similarly situated Persons (after consideration of, among other things, factors including facility pricing, structure, usage patterns, capital treatment and relationship) with respect to such amount and compensation. Any demand for compensation under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be accompanied by a certificate as to the amount requested which shall set forth a reasonably detailed calculation for such requested amount. Notwithstanding anything in this Agreement to the contrary, the SPV shall not be obligated to make any payment to any Indemnified Party under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for any period prior to the date on which such Indemnified Party gives written notice to the SPV of its intent to request such payment under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right="20" w:firstLine="1304"/>
        <w:spacing w:after="0" w:line="271" w:lineRule="auto"/>
        <w:tabs>
          <w:tab w:leader="none" w:pos="193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any indemnity payable under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shall be payable by the SPV in accordance with the priority of payments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9.4</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1" w:lineRule="auto"/>
        <w:tabs>
          <w:tab w:leader="none" w:pos="194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and distributions made hereunder by the SPV, the Originators or the Servicer (each, a “</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to any Investor, any Managing Agent or any other Secured Party (each, a “</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shall be made free and clear of and without deduction for any present or future income, excise, stamp or franchise taxes and any other taxes, fees, duties, withholdings or other charges of any nature whatsoever imposed by any taxing authority on any recipient (or any assignee of such parties) but excluding Excluded Taxes (such non-excluded items being called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In the event that any withholding or deduction from any payment made by the payor hereunder is required in respect of any Taxes, then such payor shall:</w:t>
      </w:r>
    </w:p>
    <w:p>
      <w:pPr>
        <w:spacing w:after="0" w:line="18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directly to the relevant authority the full amount required to be so withheld or deducted;</w:t>
      </w:r>
    </w:p>
    <w:p>
      <w:pPr>
        <w:spacing w:after="0" w:line="219" w:lineRule="exact"/>
        <w:rPr>
          <w:rFonts w:ascii="Times New Roman" w:cs="Times New Roman" w:eastAsia="Times New Roman" w:hAnsi="Times New Roman"/>
          <w:sz w:val="22"/>
          <w:szCs w:val="22"/>
          <w:color w:val="auto"/>
        </w:rPr>
      </w:pPr>
    </w:p>
    <w:p>
      <w:pPr>
        <w:ind w:left="1300" w:firstLine="652"/>
        <w:spacing w:after="0" w:line="284" w:lineRule="auto"/>
        <w:tabs>
          <w:tab w:leader="none" w:pos="259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forward to the applicable Managing Agent an official receipt or other documentation satisfactory to such Managing Agent evidencing such payment to such authority; and</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96"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to the recipient such additional amount or amounts as is necessary to ensure that the net amount actually received by the recipient will equal the full amount such recipient would have received had no such withholding or deduction been required.</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Moreover, if any Taxes are directly asserted against any recipient with respect to any payment received by such recipient hereunder, the recipient may pay such Taxes and the payor will promptly pay, after written demand therefor by the recipient, such additional amounts (including any penalties interest or expenses, other than those arising from the gross negligence or willful misconduct of the Agent or the recipient) as shall be necessary in order that the net amount received by the recipient after the payment of such Taxes (including any Taxes on such additional amount) shall equal the amount such recipient would have received had such Taxes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not been asserted. Any demand for compensation under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shall be accompanied by a certificate as to the amount requested which shall set forth a reasonably detailed calculation for such requested amount. Any demand by a recipient under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shall be made no later than 360 days after the earlier of (i) the date on which the recipient pays such Taxes or (ii) the date on which the relevant taxing authority makes written demand for payment of such Taxes by the recipient.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the payor fails to pay any Taxes when due to the appropriate taxing authority or fails to remit to the recipient the required receipts or other required documentary evidence, the payor shall indemnify the recipient for any incremental Taxes, interest, or penalties that may become payable by any recipient as a result of any such failure.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9.5 </w:t>
      </w:r>
      <w:r>
        <w:rPr>
          <w:rFonts w:ascii="Times New Roman" w:cs="Times New Roman" w:eastAsia="Times New Roman" w:hAnsi="Times New Roman"/>
          <w:sz w:val="21"/>
          <w:szCs w:val="21"/>
          <w:u w:val="single" w:color="auto"/>
          <w:color w:val="auto"/>
        </w:rPr>
        <w:t>Status of Investors</w:t>
      </w:r>
      <w:r>
        <w:rPr>
          <w:rFonts w:ascii="Times New Roman" w:cs="Times New Roman" w:eastAsia="Times New Roman" w:hAnsi="Times New Roman"/>
          <w:sz w:val="21"/>
          <w:szCs w:val="21"/>
          <w:color w:val="auto"/>
        </w:rPr>
        <w:t xml:space="preserve">. Any Foreign Investor that is entitled to an exemption from or reduction of withholding tax under the law of the jurisdiction in which the SPV is resident for tax purposes, or any treaty to which such jurisdiction is a party, with respect to payments hereunder or under any other Transaction Document shall deliver to the SPV (with a copy to the Agent), at the time or times or reasonably requested by the payor or the Agent, such properly completed and executed documentation prescribed by applicable law as will permit such payments to be made without withholding or at a reduced rate of withholding. In addition, any Foreign Investor, if requested by the SPV or the Agent, shall deliver such other documentation prescribed by applicable law or reasonably requested by the SPV or the Agent as will enable the SPV or the Agent to determine whether or not such Investor is subject to backup withholding or information reporting requirements. Notwithstanding anything to the contrary in the preceding two sentences, the completion, execution or submission of such documentation (other than such documentation set forth in </w:t>
      </w:r>
      <w:r>
        <w:rPr>
          <w:rFonts w:ascii="Times New Roman" w:cs="Times New Roman" w:eastAsia="Times New Roman" w:hAnsi="Times New Roman"/>
          <w:sz w:val="21"/>
          <w:szCs w:val="21"/>
          <w:u w:val="single" w:color="auto"/>
          <w:color w:val="auto"/>
        </w:rPr>
        <w:t>Section 9.5(i)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below and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xml:space="preserve"> below) shall not be required if in the Foreign Investor’s reasonable judgment, such completion, execution or submission would subject such Foreign Investor to any material unreimbursed cost or expense or would materially prejudice the legal or commercial position of such Foreign Investor.</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Without limiting the generality of the foregoing, in the event that the SPV is a U.S. Person, any Foreign Investor shall deliver to the SPV and the Agent (in such number of copies as shall be requested) on or prior to the date on which such Foreign Investor becomes an Investor under this Agreement, whichever of the following is applicable:</w:t>
      </w:r>
    </w:p>
    <w:p>
      <w:pPr>
        <w:spacing w:after="0" w:line="173" w:lineRule="exact"/>
        <w:rPr>
          <w:sz w:val="20"/>
          <w:szCs w:val="20"/>
          <w:color w:val="auto"/>
        </w:rPr>
      </w:pPr>
    </w:p>
    <w:p>
      <w:pPr>
        <w:jc w:val="both"/>
        <w:ind w:left="1300" w:firstLine="652"/>
        <w:spacing w:after="0" w:line="263" w:lineRule="auto"/>
        <w:tabs>
          <w:tab w:leader="none" w:pos="258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Investor claiming the benefits of an income tax treaty to which the United States is a party, duly completed copies of Internal Revenue Service Form W-8BEN or W-8BEN-E establishing an exemption from, or reduction of, U.S. federal withholding tax;</w:t>
      </w:r>
    </w:p>
    <w:p>
      <w:pPr>
        <w:spacing w:after="0" w:line="16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copies of Internal Revenue Service Form W-8ECI;</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Investor claiming the benefits of the exemption for portfolio interest under section 881(c) of the Code, (x) a certificate signed under penalties of perjury, in a form reasonably satisfactory to the payor,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1" w:right="339" w:bottom="1440" w:gutter="0" w:footer="0" w:header="0"/>
        </w:sectPr>
      </w:pPr>
    </w:p>
    <w:bookmarkStart w:id="134" w:name="page135"/>
    <w:bookmarkEnd w:id="134"/>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to the effect that such Foreign Investor is not (A) a “bank” within the meaning of section 881(c)(3)(A) of the Code, (B) a “10 percent shareholder” of the payor within the meaning of section 881(c)(3)(B) of the Code, or (C) a “controlled foreign corporation” described in section 881(c)(3)(C) of the Code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and (y) duly completed copies of Internal Revenue Service Form W-8BEN or W-8BEN-E;</w:t>
      </w:r>
    </w:p>
    <w:p>
      <w:pPr>
        <w:spacing w:after="0" w:line="176" w:lineRule="exact"/>
        <w:rPr>
          <w:sz w:val="20"/>
          <w:szCs w:val="20"/>
          <w:color w:val="auto"/>
        </w:rPr>
      </w:pPr>
    </w:p>
    <w:p>
      <w:pPr>
        <w:jc w:val="both"/>
        <w:ind w:left="1300" w:firstLine="652"/>
        <w:spacing w:after="0" w:line="253" w:lineRule="auto"/>
        <w:tabs>
          <w:tab w:leader="none" w:pos="258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Investor is not the beneficial owner, executed originals of Internal Revenue Service Form W-8IMY, accompanied by Internal Revenue Service Form W-8ECI, Internal Revenue Service Form W-8BEN or W-8BEN-E, a U.S. Tax Compliance Certificate in a form reasonably satisfactory to the payor, Internal Revenue Service Form W-9, and/or other certification documents that would be required from each beneficial owner if such beneficial owner were an Investor, as applicable; or</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prescribed by applicable law as a basis for claiming exemption from or a reduction in United States Federal withholding tax duly completed together with such supplementary documentation as may be prescribed by applicable law to permit the payor to determine the withholding or deduction required to be made.</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 addition, each such Foreign Investor shall deliver such forms and certificates promptly upon the obsolescence, expiration, or invalidity of any form or certificate previously delivered by the Foreign Investor. Each such Foreign Investor shall promptly notify the payor and the Agent at any time it determines that it is no longer in a position to provide any previously delivered certificate to the payor and the Agent (or any other form of certification adopted by the United States taxing authorities for such purpose). Notwithstanding any other provision of this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a Foreign Investor shall not be required to deliver any documentation pursuant to this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that such Foreign Investor is not legally able to deliver.</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9.6 </w:t>
      </w:r>
      <w:r>
        <w:rPr>
          <w:rFonts w:ascii="Times New Roman" w:cs="Times New Roman" w:eastAsia="Times New Roman" w:hAnsi="Times New Roman"/>
          <w:sz w:val="22"/>
          <w:szCs w:val="22"/>
          <w:u w:val="single" w:color="auto"/>
          <w:color w:val="auto"/>
        </w:rPr>
        <w:t>Other Costs and Expenses; Breakage Costs</w:t>
      </w:r>
      <w:r>
        <w:rPr>
          <w:rFonts w:ascii="Times New Roman" w:cs="Times New Roman" w:eastAsia="Times New Roman" w:hAnsi="Times New Roman"/>
          <w:sz w:val="22"/>
          <w:szCs w:val="22"/>
          <w:color w:val="auto"/>
        </w:rPr>
        <w:t>. (a) The SPV agrees, upon receipt of a written invoice, to pay or cause to be paid, and to hold the Investors, the Agent, each Managing Agent and each Administrator harmless against liability for the payment of, all reasonable and documented out-of-pocket expenses (including Mayer Brown LLP’s, any rating agencies’, or any other single law firm’s, accountants’ and other third parties’ fees and expenses, any filing fees and expenses incurred by officers or employees of any Investor, the Agent, each Managing Agent or any Administrator) or intangible, documentary or recording taxes incurred by or on behalf of any Investor, the Agent, any Managing Agent or any Administrator (i) in connection with the preparation, negotiation, execution and delivery of this Agreement, the other Transaction Documents and any documents or instruments delivered pursuant hereto and thereto and the transactions contemplated hereby or thereby (including the perfection or protection of the Asset Interest) and (ii) from time to time (A) relating to any amendments, waivers or consents under this Agreement and the other Transaction Documents, (B) arising in connection with the Agent’s, any Investor’s or any Managing Agent’s enforcement or preservation of rights (including the perfection and protection of the Asset Interest under this Agreement), or (C)</w:t>
      </w: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1" w:right="339" w:bottom="1440" w:gutter="0" w:footer="0" w:header="0"/>
        </w:sectPr>
      </w:pPr>
    </w:p>
    <w:bookmarkStart w:id="135" w:name="page136"/>
    <w:bookmarkEnd w:id="135"/>
    <w:p>
      <w:pPr>
        <w:spacing w:after="0" w:line="271" w:lineRule="auto"/>
        <w:rPr>
          <w:sz w:val="20"/>
          <w:szCs w:val="20"/>
          <w:color w:val="auto"/>
        </w:rPr>
      </w:pPr>
      <w:r>
        <w:rPr>
          <w:rFonts w:ascii="Times New Roman" w:cs="Times New Roman" w:eastAsia="Times New Roman" w:hAnsi="Times New Roman"/>
          <w:sz w:val="22"/>
          <w:szCs w:val="22"/>
          <w:color w:val="auto"/>
        </w:rPr>
        <w:t>arising in connection with any audit, dispute, disagreement, litigation or preparation for litigation involving this Agreement or any of the other Transaction Documents (all of such amounts, collectively, “</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jc w:val="both"/>
        <w:ind w:firstLine="1304"/>
        <w:spacing w:after="0" w:line="249"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SPV shall pay the Managing Agents for the account of the Investors, as applicable, on demand, such amount or amounts as shall compensate the Investors for any loss (including loss of profit), cost or expense incurred by the Investors (as reasonably determined by its Managing Agent) as a result of any reduction of any Portion of Investment other than on the last day of the related Rate Period or on the maturity date of the Commercial Paper (or other financing source) funding such Portion of Investment, such compensation to be (i) limited to an amount equal to any loss or expense suffered by the Investors during the period from the date of receipt of such repayment to (but excluding) the last day of the related Rate Period or the maturity date of such Commercial Paper (or other financing source) and (ii) net of the income, if any, received by the recipient of such reductions from investing the proceeds of such reductions of such Portion of Investment. The determination by any Managing Agent of the amount of any such loss or expense shall be set forth in a written notice to the SPV in reasonable detail and shall be conclusive, absent manifest error.</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Mitigation Obligations</w:t>
      </w:r>
      <w:r>
        <w:rPr>
          <w:rFonts w:ascii="Times New Roman" w:cs="Times New Roman" w:eastAsia="Times New Roman" w:hAnsi="Times New Roman"/>
          <w:sz w:val="22"/>
          <w:szCs w:val="22"/>
          <w:color w:val="auto"/>
        </w:rPr>
        <w:t xml:space="preserve">. If any Investor requests compensation under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or a payor is required to pay any additional amount to any Investor (or any Official Body for the account of any Investor)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then such Investor shall use reasonable efforts to designate a different Funding Office for funding or booking its Investment hereunder or to assign its rights and obligations hereunder to another of its offices, branches or affiliates, if, in the judgment of such Investor, such designation or assignment (i) would eliminate or reduce amounts payable pursuant to </w:t>
      </w:r>
      <w:r>
        <w:rPr>
          <w:rFonts w:ascii="Times New Roman" w:cs="Times New Roman" w:eastAsia="Times New Roman" w:hAnsi="Times New Roman"/>
          <w:sz w:val="22"/>
          <w:szCs w:val="22"/>
          <w:u w:val="single" w:color="auto"/>
          <w:color w:val="auto"/>
        </w:rPr>
        <w:t>Section 9.3 or 9.4</w:t>
      </w:r>
      <w:r>
        <w:rPr>
          <w:rFonts w:ascii="Times New Roman" w:cs="Times New Roman" w:eastAsia="Times New Roman" w:hAnsi="Times New Roman"/>
          <w:sz w:val="22"/>
          <w:szCs w:val="22"/>
          <w:color w:val="auto"/>
        </w:rPr>
        <w:t>, as the case may be, in the future, and (ii) in each case, would not subject such Investor to any unreimbursed cost or expense and would not otherwise be disadvantageous to such Investor. The SPV hereby agrees to pay all reasonable costs and expenses incurred by any Investor in connection with any such designation or assignment.</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Section 9.8 </w:t>
      </w:r>
      <w:r>
        <w:rPr>
          <w:rFonts w:ascii="Times New Roman" w:cs="Times New Roman" w:eastAsia="Times New Roman" w:hAnsi="Times New Roman"/>
          <w:sz w:val="21"/>
          <w:szCs w:val="21"/>
          <w:u w:val="single" w:color="auto"/>
          <w:color w:val="auto"/>
        </w:rPr>
        <w:t>FATCA Compliance</w:t>
      </w:r>
      <w:r>
        <w:rPr>
          <w:rFonts w:ascii="Times New Roman" w:cs="Times New Roman" w:eastAsia="Times New Roman" w:hAnsi="Times New Roman"/>
          <w:sz w:val="21"/>
          <w:szCs w:val="21"/>
          <w:color w:val="auto"/>
        </w:rPr>
        <w:t xml:space="preserve">. If a payment made hereunder to an Investor would be subject to U.S. federal withholding tax imposed by FATCA if such Investor were to fail to comply with the applicable reporting requirements of FATCA (including those contained in Section 1471(b) or 1472(b) of the Internal Revenue Code, as applicable), such Investor shall deliver to the SPV and the Agent at the time or times prescribed by law and at such time or times reasonably requested in writing by the SPV or the Agent such documentation prescribed by applicable law (including as prescribed by Section 1471(b)(3)(C)(i) of the Code) and such additional documentation reasonably requested in writing by the SPV or the Agent as may be necessary for the SPV and the Agent to comply with their obligations under FATCA and to determine that such Investor has complied with such Investors’s obligations under FATCA or to determine the amount to deduct and withhold from such payment. Solely for purposes of this </w:t>
      </w:r>
      <w:r>
        <w:rPr>
          <w:rFonts w:ascii="Times New Roman" w:cs="Times New Roman" w:eastAsia="Times New Roman" w:hAnsi="Times New Roman"/>
          <w:sz w:val="21"/>
          <w:szCs w:val="21"/>
          <w:u w:val="single" w:color="auto"/>
          <w:color w:val="auto"/>
        </w:rPr>
        <w:t>Section 9.8</w:t>
      </w:r>
      <w:r>
        <w:rPr>
          <w:rFonts w:ascii="Times New Roman" w:cs="Times New Roman" w:eastAsia="Times New Roman" w:hAnsi="Times New Roman"/>
          <w:sz w:val="21"/>
          <w:szCs w:val="21"/>
          <w:color w:val="auto"/>
        </w:rPr>
        <w:t>, “FATCA” shall include any amendments to FATCA after the date of this Agreement.</w:t>
      </w: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21" w:right="339" w:bottom="1440" w:gutter="0" w:footer="0" w:header="0"/>
        </w:sectPr>
      </w:pPr>
    </w:p>
    <w:bookmarkStart w:id="136" w:name="page137"/>
    <w:bookmarkEnd w:id="136"/>
    <w:p>
      <w:pPr>
        <w:ind w:left="498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AGENT</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u w:val="single" w:color="auto"/>
          <w:color w:val="auto"/>
        </w:rPr>
        <w:t>Appointment and Authorization of Agent</w:t>
      </w:r>
      <w:r>
        <w:rPr>
          <w:rFonts w:ascii="Times New Roman" w:cs="Times New Roman" w:eastAsia="Times New Roman" w:hAnsi="Times New Roman"/>
          <w:sz w:val="21"/>
          <w:szCs w:val="21"/>
          <w:color w:val="auto"/>
        </w:rPr>
        <w:t>. Each Secured Party hereby irrevocably appoints, designates and authorizes the Agent and its applicable Managing Agent to take such action on its behalf under the provisions of this Agreement and each other Transaction Document and to exercise such powers and perform such duties as are expressly delegated to such Agent or Managing Agent, as applicable, by the terms of this Agreement and any other Transaction Document, together with such other powers as are reasonably incidental thereto. Notwithstanding any provision to the contrary contained elsewhere in this Agreement or in any other Transaction Document, no Agent or Managing Agent shall have any duties or responsibilities except those expressly set forth in this Agreement, nor shall the Agent or any Managing Agent have or be deemed to have any fiduciary relationship with any Investor or other Secured Party, and no implied covenants, functions, responsibilities, duties, obligations or liabilities shall be read into this Agreement or any other Transaction Document or otherwise exist against any Agent or Managing Agent. Without limiting the generality of the foregoing sentence, the use of the term “agent” in this Agreement with reference to any Agent or Managing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The Agent and each Managing Agent may execute any of its duties under this Agreement or any other Transaction Document by or through agents, employees or attorneys-in-fact and shall be entitled to advice of counsel concerning all matters pertaining to such duties. Neither the Agent nor any Managing Agent shall be responsible for the negligence or misconduct of any agent or attorney-in-fact that it selects with reasonable care.</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u w:val="single" w:color="auto"/>
          <w:color w:val="auto"/>
        </w:rPr>
        <w:t>Liability of Agents and Managing Agents</w:t>
      </w:r>
      <w:r>
        <w:rPr>
          <w:rFonts w:ascii="Times New Roman" w:cs="Times New Roman" w:eastAsia="Times New Roman" w:hAnsi="Times New Roman"/>
          <w:sz w:val="22"/>
          <w:szCs w:val="22"/>
          <w:color w:val="auto"/>
        </w:rPr>
        <w:t>. No Agent-Related Person shall (a) be liable for any action taken or omitted to be taken by any of them under or in connection with this Agreement or any other Transaction Document or the transactions contemplated hereby (except for its own gross negligence or willful misconduct), or (b) be responsible in any manner to any Secured Party for any recital, statement, representation or warranty made by the SPV, any Originator or the Servicer, or any officer thereof, contained in this Agreement or in any other Transaction Document, or in any certificate, report, statement or other document referred to or provided for in, or received by the Agent or such Managing Agent under or in connection with, this Agreement or any other Transaction Document, or the validity, effectiveness, genuineness, enforceability or sufficiency of this Agreement or any other Transaction Document, or for any failure of the SPV, any Originator, the Servicer or any other party to any Transaction Document to perform its obligations hereunder or thereunder. No Agent-Related Person shall be under any obligation to any Secured Party to ascertain or to inquire as to the observance or performance of any of the agreements contained in, or conditions of, this Agreement or any other Transaction</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71" w:lineRule="auto"/>
        <w:rPr>
          <w:sz w:val="20"/>
          <w:szCs w:val="20"/>
          <w:color w:val="auto"/>
        </w:rPr>
      </w:pPr>
      <w:r>
        <w:rPr>
          <w:rFonts w:ascii="Times New Roman" w:cs="Times New Roman" w:eastAsia="Times New Roman" w:hAnsi="Times New Roman"/>
          <w:sz w:val="22"/>
          <w:szCs w:val="22"/>
          <w:color w:val="auto"/>
        </w:rPr>
        <w:t>Document, or to inspect the properties, books or records of the SPV, any Originator, the Servicer or any of their respective Affiliates.</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Reliance by Agent.</w:t>
      </w:r>
      <w:r>
        <w:rPr>
          <w:rFonts w:ascii="Times New Roman" w:cs="Times New Roman" w:eastAsia="Times New Roman" w:hAnsi="Times New Roman"/>
          <w:sz w:val="22"/>
          <w:szCs w:val="22"/>
          <w:color w:val="auto"/>
        </w:rPr>
        <w:t xml:space="preserve"> (a) The Agent and each Managing Agent shall be entitled to rely, and shall be fully protected in relying, upon any writing, resolution, notice, consent, certificate, affidavit, letter, telegram, facsimile, telex or telephone message, statement or other document or conversation believed by it to be genuine and correct and to have been signed, sent or made by or on behalf of the proper Person or Persons, and upon advice and statements of legal counsel (including counsel to the SPV, any Originator and the Servicer), independent accountants and other experts selected by the Agent or such Managing Agent. The Agent and each Managing Agent shall be fully justified in failing or refusing to take any action under this Agreement or any other Transaction Document unless it shall first receive such advice or concurrence of the Managing Agents or the Investors in its Investor Group, as applicable, as it deems appropriate and, if it so requests, it shall first be indemnified to its satisfaction by the Investors against any and all liability and expense which may be incurred by it by reason of taking or continuing to take any such action. The Agent and each Managing Agent shall in all cases be fully protected in acting, or in refraining from acting, under this Agreement or any other Transaction Document in accordance with a request or consent of the Managing Agents or the Investors in its Investor Group, as applicable, or, if required hereunder, all Investors and such request and any action taken or failure to act pursuant thereto shall be binding upon all of the Investors.</w:t>
      </w:r>
    </w:p>
    <w:p>
      <w:pPr>
        <w:spacing w:after="0" w:line="200" w:lineRule="exact"/>
        <w:rPr>
          <w:sz w:val="20"/>
          <w:szCs w:val="20"/>
          <w:color w:val="auto"/>
        </w:rPr>
      </w:pPr>
    </w:p>
    <w:p>
      <w:pPr>
        <w:spacing w:after="0" w:line="236" w:lineRule="exact"/>
        <w:rPr>
          <w:sz w:val="20"/>
          <w:szCs w:val="20"/>
          <w:color w:val="auto"/>
        </w:rPr>
      </w:pPr>
    </w:p>
    <w:p>
      <w:pPr>
        <w:jc w:val="both"/>
        <w:ind w:firstLine="1304"/>
        <w:spacing w:after="0" w:line="268" w:lineRule="auto"/>
        <w:tabs>
          <w:tab w:leader="none" w:pos="1939"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determining compliance with the conditions specified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on the Closing Date, each Investor that has executed this Agreement shall be deemed to have consented to, approved or accepted or to be satisfied with, each document or other matter either sent by the Agent or the Managing Agent to such Investor for consent, approval, acceptance or satisfaction, or required thereunder to be consented to or approved by or acceptable or satisfactory to such Investor.</w:t>
      </w:r>
    </w:p>
    <w:p>
      <w:pPr>
        <w:spacing w:after="0" w:line="17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Notice of Termination Event, Potential Termination Event or Servicer Default</w:t>
      </w:r>
      <w:r>
        <w:rPr>
          <w:rFonts w:ascii="Times New Roman" w:cs="Times New Roman" w:eastAsia="Times New Roman" w:hAnsi="Times New Roman"/>
          <w:sz w:val="22"/>
          <w:szCs w:val="22"/>
          <w:color w:val="auto"/>
        </w:rPr>
        <w:t xml:space="preserve">. Neither the Agent nor any Managing Agent shall be deemed to have knowledge or notice of the occurrence of a Potential Termination Event, a Termination Event or a Servicer Default, unless it has received written notice from an Investor or the SPV referring to this Agreement, describing such Potential Termination Event, Termination Event or Servicer Default and stating that such notice is a “Notice of Termination Event or Potential Termination Event” or “Notice of Servicer Default,” as applicable. Each Managing Agent will notify the Investors in its Investor Group of its receipt of any such notice. The Agent and each Managing Agent shall (subject to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take such action with respect to such Potential Termination Event, Termination Event or Servicer Default as may be requested by the Managing Agents (or its Investors in its Investor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unless and until the Agent shall have received any such request, the Agent (or Managing Agent) may (but shall not be obligated to) take such action, or refrain from taking such action, with respect to such Potential Termination Event, Termination Event or Servicer Default as it shall deem advisable or in the best interest of the Secured Parties or Investors, as applicable.</w:t>
      </w: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21" w:right="339" w:bottom="1440" w:gutter="0" w:footer="0" w:header="0"/>
        </w:sectPr>
      </w:pPr>
    </w:p>
    <w:bookmarkStart w:id="138" w:name="page139"/>
    <w:bookmarkEnd w:id="138"/>
    <w:p>
      <w:pPr>
        <w:spacing w:after="0" w:line="200" w:lineRule="exact"/>
        <w:rPr>
          <w:sz w:val="20"/>
          <w:szCs w:val="20"/>
          <w:color w:val="auto"/>
        </w:rPr>
      </w:pPr>
    </w:p>
    <w:p>
      <w:pPr>
        <w:spacing w:after="0" w:line="24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Credit Decision; Disclosure of Information by the Agent</w:t>
      </w:r>
      <w:r>
        <w:rPr>
          <w:rFonts w:ascii="Times New Roman" w:cs="Times New Roman" w:eastAsia="Times New Roman" w:hAnsi="Times New Roman"/>
          <w:sz w:val="22"/>
          <w:szCs w:val="22"/>
          <w:color w:val="auto"/>
        </w:rPr>
        <w:t>. Each Secured Party acknowledges that none of the Agent-Related Persons has made any representation or warranty to it, and that no act by the Agent or any Managing Agent hereinafter taken, including any consent to and acceptance of any assignment or review of the affairs of the SPV, the Servicer, the Originators or any of their respective Affiliates, shall be deemed to constitute any representation or warranty by any Agent-Related Person to any Secured Party as to any matter, including whether the Agent-Related Persons have disclosed material information in their possession. Each Secured Party, including any Investor by assignment, represents to the Agent and its Managing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SPV, the Servicer, each Originator or their respective Affiliates, and all applicable bank regulatory laws relating to the transactions contemplated hereby, and made its own decision to enter into this Agreement and to extend credit to the SPV hereunder. Each Secured Party also represents that it shall,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Transaction Documents, and to make such investigations as it deems necessary to inform itself as to the business, prospects, operations, property, financial and other condition and creditworthiness of the SPV, the Servicer or the Originators. Except for notices, reports and other documents expressly herein required to be furnished to the Secured Parties by the Agent or any Managing Agent herein, neither the Agent nor any Managing Agent shall have any duty or responsibility to provide any Secured Party with any credit or other information concerning the business, prospects, operations, property, financial and other condition or creditworthiness of the SPV, the Servicer, any Originator or their respective Affiliates which may come into the possession of any of the Agent-Related Persons.</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Indemnification of the Agent</w:t>
      </w:r>
      <w:r>
        <w:rPr>
          <w:rFonts w:ascii="Times New Roman" w:cs="Times New Roman" w:eastAsia="Times New Roman" w:hAnsi="Times New Roman"/>
          <w:sz w:val="22"/>
          <w:szCs w:val="22"/>
          <w:color w:val="auto"/>
        </w:rPr>
        <w:t xml:space="preserve">. Whether or not the transactions contemplated hereby are consummated, the Committed Investors (or the Committed Investors in the applicable Investor Group) shall indemnify upon demand each Agent-Related Person (to the extent not reimbursed by or on behalf of the SPV and without limiting the obligation of the SPV to do so),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and hold harmless each Agent-Related Person from and against any and all Indemnified Amounts incurred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Committed Investor shall be liable for the payment to any Agent-Related Person of any portion of such Indemnified Amounts resulting from such Person’s gross negligence or willful misconduct, as finally determined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action taken by Agent (or any Managing Agent) in accordance with the directions of the Managing Agents (or the Investors in its Investor Group) shall be deemed to constitute gross negligence or willful misconduct for purposes of this Section. Without limitation of the foregoing, each Investor shall reimburse its Managing Agent and the Agent upon demand for its ratable share of any costs or out-of-pocket expenses (including attorney’s fees) incurred in connection with the preparation, execution, delivery, administration,</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40" w:right="339" w:bottom="1440" w:gutter="0" w:footer="0" w:header="0"/>
        </w:sectPr>
      </w:pPr>
    </w:p>
    <w:bookmarkStart w:id="139" w:name="page140"/>
    <w:bookmarkEnd w:id="139"/>
    <w:p>
      <w:pPr>
        <w:jc w:val="both"/>
        <w:spacing w:after="0" w:line="253" w:lineRule="auto"/>
        <w:rPr>
          <w:sz w:val="20"/>
          <w:szCs w:val="20"/>
          <w:color w:val="auto"/>
        </w:rPr>
      </w:pPr>
      <w:r>
        <w:rPr>
          <w:rFonts w:ascii="Times New Roman" w:cs="Times New Roman" w:eastAsia="Times New Roman" w:hAnsi="Times New Roman"/>
          <w:sz w:val="22"/>
          <w:szCs w:val="22"/>
          <w:color w:val="auto"/>
        </w:rPr>
        <w:t>modification, amendment or enforcement (whether through negotiations, legal proceedings or otherwise) of, or legal advice in respect of rights or responsibilities under, this Agreement, any other Transaction Document, or any document contemplated by or referred to herein, to the extent that the Agent or such Managing Agent is not reimbursed for such expenses by or on behalf of the SPV. The undertaking in this Section shall survive payment on the Final Payout Date and the resignation or replacement of the Agent or such Managing Agent.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Agent in Individual Capacity</w:t>
      </w:r>
      <w:r>
        <w:rPr>
          <w:rFonts w:ascii="Times New Roman" w:cs="Times New Roman" w:eastAsia="Times New Roman" w:hAnsi="Times New Roman"/>
          <w:sz w:val="22"/>
          <w:szCs w:val="22"/>
          <w:color w:val="auto"/>
        </w:rPr>
        <w:t>. The Agent and each Managing Agent (and any successor thereto in such capacity) and its Affiliates may make loans to, issue letters of credit for the account of, accept deposits from, acquire equity interests in and generally engage in any kind of banking, trust, financial advisory, underwriting or other business with any of the SPV, the Originators, the Servicer, or any of their Subsidiaries or Affiliates as though it were not the Agent, a Managing Agent or an Investor hereunder, as applicable, and without notice to or consent of the Secured Parties. The Secured Parties acknowledge that, pursuant to such activities, any such Person or its Affiliates may receive information regarding the SPV, the Originators, the Servicer or their respective Affiliates (including information that may be subject to confidentiality obligations in favor of such Person) and acknowledge that the Agent shall be under no obligation to provide such information to them. With respect to its Commitment, the Agent and each Managing Agent (and any successor thereto in such capacity) in its capacity as a Committed Investor hereunder shall have the same rights and powers under this Agreement as any other Committed Investor and may exercise the same as though it were not the Agent, a Managing Agent or a Committed Investor, as applicable, and the term “Committed Investor” or “Committed Investors” shall, unless the context otherwise indicates, include the Agent and each Managing Agent in its individual capacity.</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u w:val="single" w:color="auto"/>
          <w:color w:val="auto"/>
        </w:rPr>
        <w:t>Resignation of Agents</w:t>
      </w:r>
      <w:r>
        <w:rPr>
          <w:rFonts w:ascii="Times New Roman" w:cs="Times New Roman" w:eastAsia="Times New Roman" w:hAnsi="Times New Roman"/>
          <w:sz w:val="22"/>
          <w:szCs w:val="22"/>
          <w:color w:val="auto"/>
        </w:rPr>
        <w:t xml:space="preserve">. The Agent or any Managing Agent may resign upon thirty (30) days’ notice to the applicable Investors. If the Agent resigns under this Agreement, the Majority Investors shall (with the consent of the SPV prior to a Termination Event) appoint from among the Committed Investors a successor agent for the Secured Parties. If no successor agent is appointed prior to the effective date of the resignation of the Agent, the Agent may appoint, after consulting with the Investors and, prior to a Termination Event, the SPV, a successor agent from among the Committed Investors.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10.7</w:t>
      </w:r>
      <w:r>
        <w:rPr>
          <w:rFonts w:ascii="Times New Roman" w:cs="Times New Roman" w:eastAsia="Times New Roman" w:hAnsi="Times New Roman"/>
          <w:sz w:val="22"/>
          <w:szCs w:val="22"/>
          <w:color w:val="auto"/>
        </w:rPr>
        <w:t xml:space="preserve"> shall inure to its benefit as to any actions taken or omitted to be taken by it while it was the Agent under this Agreement. If no successor agent has accepted appointment as Agent by the date which is thirty (30) days following a retiring Agent’s notice of resignation, the retiring Agent’s resignation shall nevertheless thereupon become effective and the Committed Investors shall perform all of the duties of the Agent hereunder until such time, if any, as the Majority Investors appoint a successor agent as provided for above. If a Managing Agent resigns under this Agreement, the Investors in such Investor Group shall appoint a successor agent.</w:t>
      </w: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21" w:right="339" w:bottom="1440" w:gutter="0" w:footer="0" w:header="0"/>
        </w:sectPr>
      </w:pPr>
    </w:p>
    <w:bookmarkStart w:id="140" w:name="page141"/>
    <w:bookmarkEnd w:id="140"/>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Section 10.10 Recovery of Erroneous Payments.</w:t>
      </w:r>
    </w:p>
    <w:p>
      <w:pPr>
        <w:spacing w:after="0" w:line="200" w:lineRule="exact"/>
        <w:rPr>
          <w:sz w:val="20"/>
          <w:szCs w:val="20"/>
          <w:color w:val="auto"/>
        </w:rPr>
      </w:pPr>
    </w:p>
    <w:p>
      <w:pPr>
        <w:spacing w:after="0" w:line="263" w:lineRule="exact"/>
        <w:rPr>
          <w:sz w:val="20"/>
          <w:szCs w:val="20"/>
          <w:color w:val="auto"/>
        </w:rPr>
      </w:pPr>
    </w:p>
    <w:p>
      <w:pPr>
        <w:jc w:val="both"/>
        <w:ind w:left="-220" w:firstLine="1304"/>
        <w:spacing w:after="0" w:line="260" w:lineRule="auto"/>
        <w:tabs>
          <w:tab w:leader="none" w:pos="172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Agent notifies a Seller Party or other Secured Party, or any Person who has received funds on behalf of a Seller Party or other Secured Party (any Seller Party, Secured Party or other recipient, a “</w:t>
      </w:r>
      <w:r>
        <w:rPr>
          <w:rFonts w:ascii="Times New Roman" w:cs="Times New Roman" w:eastAsia="Times New Roman" w:hAnsi="Times New Roman"/>
          <w:sz w:val="21"/>
          <w:szCs w:val="21"/>
          <w:u w:val="single" w:color="auto"/>
          <w:color w:val="auto"/>
        </w:rPr>
        <w:t>Payment Recipient</w:t>
      </w:r>
      <w:r>
        <w:rPr>
          <w:rFonts w:ascii="Times New Roman" w:cs="Times New Roman" w:eastAsia="Times New Roman" w:hAnsi="Times New Roman"/>
          <w:sz w:val="21"/>
          <w:szCs w:val="21"/>
          <w:color w:val="auto"/>
        </w:rPr>
        <w:t xml:space="preserve">”) that the Agent has determined in its sole discretion (whether or not after receipt of any notice under immediately succeeding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that any funds received by such Payment Recipient from the Agent or any of its Affiliates were erroneously transmitted to, or otherwise erroneously or mistakenly received by, such Payment Recipient (whether or not known to such Seller Party, other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and demands the return of such Erroneous Payment (or a portion thereof), such Erroneous Payment shall at all times remain the property of the Agent and shall be segregated by the Payment Recipient and held in trust for the benefit of the Agent, and such Seller Party or other Secured Party shall (or, with respect to any Payment Recipient who received such funds on its behalf, shall cause such 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shall be conclusive, absent manifest error.</w:t>
      </w:r>
    </w:p>
    <w:p>
      <w:pPr>
        <w:spacing w:after="0" w:line="174" w:lineRule="exact"/>
        <w:rPr>
          <w:rFonts w:ascii="Times New Roman" w:cs="Times New Roman" w:eastAsia="Times New Roman" w:hAnsi="Times New Roman"/>
          <w:sz w:val="21"/>
          <w:szCs w:val="21"/>
          <w:color w:val="auto"/>
        </w:rPr>
      </w:pPr>
    </w:p>
    <w:p>
      <w:pPr>
        <w:jc w:val="both"/>
        <w:ind w:left="-220" w:firstLine="1304"/>
        <w:spacing w:after="0" w:line="250" w:lineRule="auto"/>
        <w:tabs>
          <w:tab w:leader="none" w:pos="171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each Seller Party or other Secured Party, or any Person who has received funds on behalf of a Seller Party or other Secured Party, hereby further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Seller Party or other Secured Party, or other such recipient, otherwise becomes aware was transmitted, or received, in error or by mistake (in whole or in part) in each case:</w:t>
      </w:r>
    </w:p>
    <w:p>
      <w:pPr>
        <w:spacing w:after="0" w:line="186" w:lineRule="exact"/>
        <w:rPr>
          <w:rFonts w:ascii="Times New Roman" w:cs="Times New Roman" w:eastAsia="Times New Roman" w:hAnsi="Times New Roman"/>
          <w:sz w:val="22"/>
          <w:szCs w:val="22"/>
          <w:color w:val="auto"/>
        </w:rPr>
      </w:pPr>
    </w:p>
    <w:p>
      <w:pPr>
        <w:jc w:val="both"/>
        <w:ind w:left="1080" w:firstLine="652"/>
        <w:spacing w:after="0" w:line="275" w:lineRule="auto"/>
        <w:tabs>
          <w:tab w:leader="none" w:pos="2364"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in the case of immediately preceding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an error shall be presumed to have been made (absent written confirmation from the Agent to the contrary) or (B) an error has been made (in the case of immediately preceding </w:t>
      </w:r>
      <w:r>
        <w:rPr>
          <w:rFonts w:ascii="Times New Roman" w:cs="Times New Roman" w:eastAsia="Times New Roman" w:hAnsi="Times New Roman"/>
          <w:sz w:val="21"/>
          <w:szCs w:val="21"/>
          <w:u w:val="single" w:color="auto"/>
          <w:color w:val="auto"/>
        </w:rPr>
        <w:t>clause (z)</w:t>
      </w:r>
      <w:r>
        <w:rPr>
          <w:rFonts w:ascii="Times New Roman" w:cs="Times New Roman" w:eastAsia="Times New Roman" w:hAnsi="Times New Roman"/>
          <w:sz w:val="21"/>
          <w:szCs w:val="21"/>
          <w:color w:val="auto"/>
        </w:rPr>
        <w:t>), in each case, with respect to such payment, prepayment or repayment; and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020"/>
          </w:cols>
          <w:pgMar w:left="540" w:top="1440" w:right="339" w:bottom="1440" w:gutter="0" w:footer="0" w:header="0"/>
        </w:sectPr>
      </w:pPr>
    </w:p>
    <w:bookmarkStart w:id="141" w:name="page142"/>
    <w:bookmarkEnd w:id="141"/>
    <w:p>
      <w:pPr>
        <w:jc w:val="both"/>
        <w:ind w:left="1080" w:firstLine="652"/>
        <w:spacing w:after="0" w:line="256" w:lineRule="auto"/>
        <w:tabs>
          <w:tab w:leader="none" w:pos="237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Seller Party or other Secured Party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w:t>
      </w:r>
      <w:r>
        <w:rPr>
          <w:rFonts w:ascii="Times New Roman" w:cs="Times New Roman" w:eastAsia="Times New Roman" w:hAnsi="Times New Roman"/>
          <w:sz w:val="22"/>
          <w:szCs w:val="22"/>
          <w:u w:val="single" w:color="auto"/>
          <w:color w:val="auto"/>
        </w:rPr>
        <w:t>Section 10.12(b)</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20" w:firstLine="1304"/>
        <w:spacing w:after="0" w:line="252" w:lineRule="auto"/>
        <w:tabs>
          <w:tab w:leader="none" w:pos="172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Seller Party or other Secured Party hereby authorizes the Agent to set off, net and apply any and all amounts at any time owing to such Seller Party or other Secured Party under any Transaction Document, or otherwise payable or distributable by the Agent to such Seller Party or other Secured Party from any source, against any amount due to the Agent under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under the indemnification provisions of this Agreement.</w:t>
      </w:r>
    </w:p>
    <w:p>
      <w:pPr>
        <w:spacing w:after="0" w:line="192" w:lineRule="exact"/>
        <w:rPr>
          <w:rFonts w:ascii="Times New Roman" w:cs="Times New Roman" w:eastAsia="Times New Roman" w:hAnsi="Times New Roman"/>
          <w:sz w:val="22"/>
          <w:szCs w:val="22"/>
          <w:color w:val="auto"/>
        </w:rPr>
      </w:pPr>
    </w:p>
    <w:p>
      <w:pPr>
        <w:jc w:val="both"/>
        <w:ind w:left="-220" w:firstLine="1304"/>
        <w:spacing w:after="0" w:line="246" w:lineRule="auto"/>
        <w:tabs>
          <w:tab w:leader="none" w:pos="171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an Erroneous Payment (or portion thereof) is not recovered by the Agent for any reason, after demand therefor by the Agent in accordance with immediately preceding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from any Investor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upon the Agent’s notice to such Investor at any time, (i) such Investor shall be deemed to have assigned its Investments (but not its Commitments) in an amount equal to the Erroneous Payment Return Deficiency (or such lesser amount as the Agent may specify) (such assignment of the Investments (but not Commitments), the “</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at par plus any accrued and unpaid interest (with the assignment fee to be waived by the Agent in such instance), and is hereby (together with the SPV) deemed to execute and deliver an Assignment and Assumption with respect to such Erroneous Payment Deficiency Assignment, (ii) the Agent as the assignee Investor shall be deemed to acquire the Erroneous Payment Deficiency Assignment, (iii) upon such deemed acquisition, the Agent as the assignee Investor shall become a Investor hereunder with respect to such Erroneous Payment Deficiency Assignment and the assigning Investor shall cease to be a Investor hereunder with respect to such Erroneous Payment Deficiency Assignment, excluding, for the avoidance of doubt, its obligations under the indemnification provisions of this Agreement and its applicable Commitments which shall survive as to such assigning Investor and (iv) the Agent may reflect in the Register its ownership interest in the Investments subject to the Erroneous Payment Deficiency Assignment. The Agent may, in its discretion, sell any Investments acquired pursuant to an Erroneous Payment Deficiency Assignment and upon receipt of the proceeds of such sale, the Erroneous Payment Return Deficiency owing by the applicable Investor shall be reduced by the net proceeds of the sale of such Investment (or portion thereof), and the Agent shall retain all other rights, remedies and claims against such Investor (and/or against any recipient that receives funds on its respective behalf). For the avoidance of doubt, no Erroneous Payment Deficiency Assignment will reduce the Commitments of any Investor and such Commitments shall remain available in accordance with the terms of this Agreement. In addition, each party hereto agrees that, except to the extent that the Agent has sold an Investment (or portion thereof) acquired pursuant to an Erroneous Payment Deficiency Assignment, and irrespective of whether the Agent may be equitably subrogated, the Agent shall be contractually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020"/>
          </w:cols>
          <w:pgMar w:left="540" w:top="1421" w:right="339" w:bottom="1440" w:gutter="0" w:footer="0" w:header="0"/>
        </w:sectPr>
      </w:pPr>
    </w:p>
    <w:bookmarkStart w:id="142" w:name="page143"/>
    <w:bookmarkEnd w:id="142"/>
    <w:p>
      <w:pPr>
        <w:spacing w:after="0" w:line="271" w:lineRule="auto"/>
        <w:rPr>
          <w:sz w:val="20"/>
          <w:szCs w:val="20"/>
          <w:color w:val="auto"/>
        </w:rPr>
      </w:pPr>
      <w:r>
        <w:rPr>
          <w:rFonts w:ascii="Times New Roman" w:cs="Times New Roman" w:eastAsia="Times New Roman" w:hAnsi="Times New Roman"/>
          <w:sz w:val="22"/>
          <w:szCs w:val="22"/>
          <w:color w:val="auto"/>
        </w:rPr>
        <w:t>subrogated to all the rights and interests of the applicable Investor or other Secured Party under the Transaction Documents with respect to each Erroneous Payment Return Deficiency (the “</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6"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Indebtedness of the SPV or any other obligations owed by any Seller Party, except, in each case, to the extent such Erroneous Payment is, and solely with respect to the amount of such Erroneous Payment that is, comprised of funds received by the Agent from any Seller Party for the purpose of making such Erroneous Payment.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xml:space="preserve"> shall survive the resignation or replacement of the Agent, the termination of the Commitments and/or the repayment, satisfaction or discharge of all Indebtedness of the SPV (or any portion thereof) under any Transaction Document.</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10.11 </w:t>
      </w:r>
      <w:r>
        <w:rPr>
          <w:rFonts w:ascii="Times New Roman" w:cs="Times New Roman" w:eastAsia="Times New Roman" w:hAnsi="Times New Roman"/>
          <w:sz w:val="21"/>
          <w:szCs w:val="21"/>
          <w:u w:val="single" w:color="auto"/>
          <w:color w:val="auto"/>
        </w:rPr>
        <w:t>Payments by the Agent</w:t>
      </w:r>
      <w:r>
        <w:rPr>
          <w:rFonts w:ascii="Times New Roman" w:cs="Times New Roman" w:eastAsia="Times New Roman" w:hAnsi="Times New Roman"/>
          <w:sz w:val="21"/>
          <w:szCs w:val="21"/>
          <w:color w:val="auto"/>
        </w:rPr>
        <w:t xml:space="preserve">. Unless specifically allocated to a Committed Investor pursuant to the terms of this Agreement, all amounts received by the Agent or a Managing Agent on behalf of the Investors shall be paid to the applicable Managing Agent or Investors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in accordance with amounts then due on the Business Day received, unless such amounts are received after 12:00 noon on such Business Day, in which case the applicable agent shall use its reasonable efforts to pay such amounts on such Business Day, but, in any event, shall pay such amounts not later than the following Business Day.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shall terminate on the Final Payout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rights and remedies of the Agent, the Managing Agents, the Investors, the Administrators and the other Secured Parties with respect to any representation and warranty made or deemed to be made by the SPV, the Originators or the Servicer pursuant to this Agreement, (ii) the indemnification and payment provisions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(iii) the provisions of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and (iv) the agreements set forth in </w:t>
      </w:r>
      <w:r>
        <w:rPr>
          <w:rFonts w:ascii="Times New Roman" w:cs="Times New Roman" w:eastAsia="Times New Roman" w:hAnsi="Times New Roman"/>
          <w:sz w:val="22"/>
          <w:szCs w:val="22"/>
          <w:u w:val="single" w:color="auto"/>
          <w:color w:val="auto"/>
        </w:rPr>
        <w:t>Sections 11.11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11.12</w:t>
      </w:r>
      <w:r>
        <w:rPr>
          <w:rFonts w:ascii="Times New Roman" w:cs="Times New Roman" w:eastAsia="Times New Roman" w:hAnsi="Times New Roman"/>
          <w:sz w:val="22"/>
          <w:szCs w:val="22"/>
          <w:color w:val="auto"/>
        </w:rPr>
        <w:t>, shall be continuing and shall survive any termination of this Agreement.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(a) No failure or delay on the part of the Agent, any Managing Agent, the Investors, any Administrator or any Committed Investor in exercising any power, right or remedy under this Agreement shall operate as a waiver thereof, nor shall any</w:t>
      </w: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57" w:lineRule="auto"/>
        <w:rPr>
          <w:sz w:val="20"/>
          <w:szCs w:val="20"/>
          <w:color w:val="auto"/>
        </w:rPr>
      </w:pPr>
      <w:r>
        <w:rPr>
          <w:rFonts w:ascii="Times New Roman" w:cs="Times New Roman" w:eastAsia="Times New Roman" w:hAnsi="Times New Roman"/>
          <w:sz w:val="22"/>
          <w:szCs w:val="22"/>
          <w:color w:val="auto"/>
        </w:rPr>
        <w:t>single or partial exercise of any such power, right or remedy preclude any other further exercise thereof or the exercise of any other power, right or remedy. The rights and remedies herein provided shall be cumulative and nonexclusive of any rights or remedies provided by law.</w:t>
      </w:r>
    </w:p>
    <w:p>
      <w:pPr>
        <w:spacing w:after="0" w:line="200" w:lineRule="exact"/>
        <w:rPr>
          <w:sz w:val="20"/>
          <w:szCs w:val="20"/>
          <w:color w:val="auto"/>
        </w:rPr>
      </w:pPr>
    </w:p>
    <w:p>
      <w:pPr>
        <w:spacing w:after="0" w:line="229" w:lineRule="exact"/>
        <w:rPr>
          <w:sz w:val="20"/>
          <w:szCs w:val="20"/>
          <w:color w:val="auto"/>
        </w:rPr>
      </w:pPr>
    </w:p>
    <w:p>
      <w:pPr>
        <w:jc w:val="both"/>
        <w:ind w:firstLine="1304"/>
        <w:spacing w:after="0" w:line="258" w:lineRule="auto"/>
        <w:tabs>
          <w:tab w:leader="none" w:pos="1939"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any provision of this Agreement or any other Transaction Document may be amended or waived if, but only if, such amendment or waiver is in writing and is signed by the SPV, the Originators, the Servicer (but only with respect to the provisions applicable to it), the Agent and the Majority Investors;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amendment or waiver shall, unless signed by each Committed Investor directly affected thereby, (i) increase the Commitment of such Committed Investor, (ii) reduce the Net Investment or rate of Yield to accrue thereon or any fees or other amounts payable hereunder, (iii) postpone any date fixed for the payment of any scheduled distribution in respect of the Net Investment or Yield with respect thereto or any fees or other amounts payable hereunder or for termination of any Commitment, (iv) change the percentage of the Commitments of Committed Investors which shall be required for the Committed Investors or any of them to take any action under this Section or any other provision of this Agreement, (v) release all or substantially all of the property with respect to which a security or ownership interest therein has been granted hereunder to the Agent or the Committed Investors or</w:t>
      </w:r>
    </w:p>
    <w:p>
      <w:pPr>
        <w:spacing w:after="0" w:line="6" w:lineRule="exact"/>
        <w:rPr>
          <w:rFonts w:ascii="Times New Roman" w:cs="Times New Roman" w:eastAsia="Times New Roman" w:hAnsi="Times New Roman"/>
          <w:sz w:val="21"/>
          <w:szCs w:val="21"/>
          <w:color w:val="auto"/>
        </w:rPr>
      </w:pPr>
    </w:p>
    <w:p>
      <w:pPr>
        <w:jc w:val="both"/>
        <w:ind w:firstLine="8"/>
        <w:spacing w:after="0" w:line="247" w:lineRule="auto"/>
        <w:tabs>
          <w:tab w:leader="none" w:pos="39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permit the extension of the Commitment Termination Date (it being understood that a waiver of a Termination Event shall not constitute an extension or increase in the Commitment of any Committed Investor);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signature of the SPV and the Originators shall not be required for the effectiveness of any amendment which modifies the representations, warranties, covenants or responsibilities of the Servicer at any time when the Servicer is not an Originator or any Affiliate of an Originator or a successor Servicer is designated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11.3</w:t>
      </w:r>
      <w:r>
        <w:rPr>
          <w:sz w:val="20"/>
          <w:szCs w:val="20"/>
          <w:color w:val="auto"/>
        </w:rPr>
        <w:tab/>
      </w:r>
      <w:r>
        <w:rPr>
          <w:rFonts w:ascii="Times New Roman" w:cs="Times New Roman" w:eastAsia="Times New Roman" w:hAnsi="Times New Roman"/>
          <w:sz w:val="21"/>
          <w:szCs w:val="21"/>
          <w:color w:val="auto"/>
        </w:rPr>
        <w:t>Notices; Payment Information.</w:t>
      </w:r>
    </w:p>
    <w:p>
      <w:pPr>
        <w:spacing w:after="0" w:line="200" w:lineRule="exact"/>
        <w:rPr>
          <w:sz w:val="20"/>
          <w:szCs w:val="20"/>
          <w:color w:val="auto"/>
        </w:rPr>
      </w:pPr>
    </w:p>
    <w:p>
      <w:pPr>
        <w:spacing w:after="0" w:line="276" w:lineRule="exact"/>
        <w:rPr>
          <w:sz w:val="20"/>
          <w:szCs w:val="20"/>
          <w:color w:val="auto"/>
        </w:rPr>
      </w:pPr>
    </w:p>
    <w:p>
      <w:pPr>
        <w:jc w:val="both"/>
        <w:ind w:firstLine="1304"/>
        <w:spacing w:after="0" w:line="261" w:lineRule="auto"/>
        <w:tabs>
          <w:tab w:leader="none" w:pos="1941"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below, all communications and notices provided for hereunder shall be in writing (including facsimile or electronic transmission or similar writing) and shall be given to the other party at its address or facsimile number set forth in the Notice Letter Agreement or at such other address or facsimile number as such party may hereafter specify for the purposes of notice to such party. Each such notice or other communication shall be effective (i) if given by facsimile, when such facsimile is transmitted to the facsimile number specified in this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and confirmation is received, (ii) if given by mail, three (3) Business Days following such posting, if postage prepaid, and if sent via U.S. certified or registered mail,</w:t>
      </w:r>
    </w:p>
    <w:p>
      <w:pPr>
        <w:jc w:val="both"/>
        <w:ind w:firstLine="8"/>
        <w:spacing w:after="0" w:line="246" w:lineRule="auto"/>
        <w:tabs>
          <w:tab w:leader="none" w:pos="389"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given by overnight courier, one (1) Business Day after deposit thereof with a national overnight courier service, or (iv) if given by any other means, when received at the address specified in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 Investment Request shall only be effective upon receipt by the Managing Agents. However, anything in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to the contrary notwithstanding, the SPV hereby authorizes the Agent and the Managing Agents to make investments in Eligible Investments and to make Investments based on telephonic notices made by any Person which the Agent or the Managing Agents in good faith believe to be acting on behalf of the SPV. The SPV agrees to deliver promptly to the Agent or the Managing Agents a written confirmation of each telephonic notice signed by an authorized officer of SPV.</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57" w:lineRule="auto"/>
        <w:rPr>
          <w:sz w:val="20"/>
          <w:szCs w:val="20"/>
          <w:color w:val="auto"/>
        </w:rPr>
      </w:pPr>
      <w:r>
        <w:rPr>
          <w:rFonts w:ascii="Times New Roman" w:cs="Times New Roman" w:eastAsia="Times New Roman" w:hAnsi="Times New Roman"/>
          <w:sz w:val="22"/>
          <w:szCs w:val="22"/>
          <w:color w:val="auto"/>
        </w:rPr>
        <w:t>However, the absence of such confirmation shall not affect the validity of such notice. If the written confirmation differs in any material respect from the action taken by the Agent or the Investors, the records of the Agent or the Managing Agents shall govern.</w:t>
      </w:r>
    </w:p>
    <w:p>
      <w:pPr>
        <w:spacing w:after="0" w:line="186" w:lineRule="exact"/>
        <w:rPr>
          <w:sz w:val="20"/>
          <w:szCs w:val="20"/>
          <w:color w:val="auto"/>
        </w:rPr>
      </w:pPr>
    </w:p>
    <w:p>
      <w:pPr>
        <w:ind w:left="1940" w:hanging="636"/>
        <w:spacing w:after="0"/>
        <w:tabs>
          <w:tab w:leader="none" w:pos="19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Notwithstanding any of the provisions of </w:t>
      </w:r>
      <w:r>
        <w:rPr>
          <w:rFonts w:ascii="Times New Roman" w:cs="Times New Roman" w:eastAsia="Times New Roman" w:hAnsi="Times New Roman"/>
          <w:sz w:val="22"/>
          <w:szCs w:val="22"/>
          <w:u w:val="single" w:color="auto"/>
          <w:color w:val="auto"/>
        </w:rPr>
        <w:t>Section 11.3(a)</w:t>
      </w:r>
      <w:r>
        <w:rPr>
          <w:rFonts w:ascii="Times New Roman" w:cs="Times New Roman" w:eastAsia="Times New Roman" w:hAnsi="Times New Roman"/>
          <w:sz w:val="22"/>
          <w:szCs w:val="22"/>
          <w:color w:val="auto"/>
        </w:rPr>
        <w:t>, so long as PNC is the Agent:</w:t>
      </w:r>
    </w:p>
    <w:p>
      <w:pPr>
        <w:spacing w:after="0" w:line="219" w:lineRule="exact"/>
        <w:rPr>
          <w:rFonts w:ascii="Times New Roman" w:cs="Times New Roman" w:eastAsia="Times New Roman" w:hAnsi="Times New Roman"/>
          <w:sz w:val="22"/>
          <w:szCs w:val="22"/>
          <w:color w:val="auto"/>
        </w:rPr>
      </w:pPr>
    </w:p>
    <w:p>
      <w:pPr>
        <w:ind w:left="1300" w:firstLine="652"/>
        <w:spacing w:after="0" w:line="295" w:lineRule="auto"/>
        <w:tabs>
          <w:tab w:leader="none" w:pos="2584"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SPV and the Servicer agrees that the Agent may, but shall not be obligated to, make the Communications (as defined below) available to the Investors by posting the Communications on the Platform.</w:t>
      </w:r>
    </w:p>
    <w:p>
      <w:pPr>
        <w:spacing w:after="0" w:line="135" w:lineRule="exact"/>
        <w:rPr>
          <w:rFonts w:ascii="Times New Roman" w:cs="Times New Roman" w:eastAsia="Times New Roman" w:hAnsi="Times New Roman"/>
          <w:sz w:val="21"/>
          <w:szCs w:val="21"/>
          <w:color w:val="auto"/>
        </w:rPr>
      </w:pPr>
    </w:p>
    <w:p>
      <w:pPr>
        <w:jc w:val="both"/>
        <w:ind w:left="1300" w:firstLine="652"/>
        <w:spacing w:after="0" w:line="247" w:lineRule="auto"/>
        <w:tabs>
          <w:tab w:leader="none" w:pos="259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any Seller Parties, any Investors or any other Person for damages of any kind, including direct or indirect, special, incidental or consequential damages, losses or expenses (whether in tort, contract or otherwise) arising out of any Seller Parties’ or the Agent’s transmission of communications through the Platform. “</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any Seller Party pursuant to any Transaction Document or the transactions contemplated therein which is distributed to the Agent or any other Investors by means of electronic communications pursuant to this Section, including through the Platform.</w:t>
      </w:r>
    </w:p>
    <w:p>
      <w:pPr>
        <w:spacing w:after="0" w:line="20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11.4</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Appointment of Service Agent</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jc w:val="both"/>
        <w:ind w:firstLine="1304"/>
        <w:spacing w:after="0" w:line="248" w:lineRule="auto"/>
        <w:tabs>
          <w:tab w:leader="none" w:pos="194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THIS AGREEMENT SHALL BE GOVERNED BY AND CONSTRUED IN ACCORDANCE WITH THE LAWS OF THE STATE OF NEW YORK (WITHOUT REFERENCE TO THE CONFLICTS OF LAW PRINCIPLES THEREOF OTHER THAN SECTIONS 5-1401 AND 5-1402 OF THE NEW YORK GENERAL OBLIGATIONS LAW). </w:t>
      </w:r>
      <w:r>
        <w:rPr>
          <w:rFonts w:ascii="Times New Roman" w:cs="Times New Roman" w:eastAsia="Times New Roman" w:hAnsi="Times New Roman"/>
          <w:sz w:val="22"/>
          <w:szCs w:val="22"/>
          <w:color w:val="auto"/>
        </w:rPr>
        <w:t>EACH OF THE SPV, THE ORIGINATORS, THE SERVICER, THE AGENT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INVESTORS HEREBY SUBMITS TO THE NONEXCLUSIVE JURISDICTION OF THE UNITED STATES DISTRICT COURT FOR THE SOUTHERN DISTRICT OF NEW YORK AND OF ANY NEW YORK STATE COURT SITTING IN THE CITY OF NEW YORK FOR PURPOSES OF ALL LEGAL PROCEEDINGS ARISING OUT OF OR RELATING TO THIS AGREEMENT, ANY OTHER TRANSACTION DOCUMENT OR THE TRANSACTIONS CONTEMPLATED HEREBY OR THEREBY. EACH OF THE SPV, THE SERVICER, THE ORIGINATORS, THE AGENT AND THE INVESTORS HEREBY IRREVOCABLY WAIVES, TO THE FULLEST EXTENT IT MAY EFFECTIVELY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DO SO, ANY OBJECTION WHICH IT MAY NOW OR HEREAFTER HAVE TO THE LAYING OF THE VENUE OF ANY SUCH PROCEEDING BROUGHT IN SUCH A COURT AND ANY CLAIM THAT ANY SUCH PROCEEDING BROUGHT IN SUCH A COURT HAS BEEN BROUGHT IN AN INCONVENIENT FORUM. NOTHING IN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SHALL AFFECT THE RIGHT OF THE SECURED PARTIES TO BRING ANY ACTION OR PROCEEDING AGAINST ANY OF THE SPV, THE ORIGINATOR OR THE SERVICER OR ANY OF THEIR RESPECTIVE PROPERTY IN THE COURTS OF OTHER JURISDICTIONS.</w:t>
      </w:r>
    </w:p>
    <w:p>
      <w:pPr>
        <w:spacing w:after="0" w:line="181" w:lineRule="exact"/>
        <w:rPr>
          <w:sz w:val="20"/>
          <w:szCs w:val="20"/>
          <w:color w:val="auto"/>
        </w:rPr>
      </w:pPr>
    </w:p>
    <w:p>
      <w:pPr>
        <w:jc w:val="both"/>
        <w:ind w:firstLine="1304"/>
        <w:spacing w:after="0" w:line="253" w:lineRule="auto"/>
        <w:tabs>
          <w:tab w:leader="none" w:pos="193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HEREBY WAIVES ANY RIGHT TO HAVE A JURY PARTICIPATE IN RESOLVING ANY DISPUTE, WHETHER SOUNDING IN CONTRACT, TORT OR OTHERWISE, AMONG ANY OF THEM ARISING OUT OF, CONNECTED WITH, RELATING TO OR INCIDENTAL TO THE RELATIONSHIP BETWEEN THEM IN CONNECTION WITH THIS AGREEMENT OR THE OTHER TRANSACTION DOCUMENTS.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11.6 </w:t>
      </w: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If any one or more of the provisions of this Agreement shall for any reason whatsoever be held invalid, then such provisions shall be deemed severable from the remaining provisions of this Agreement and shall in no way affect the validity or enforceability of such other provisions.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11.7 </w:t>
      </w:r>
      <w:r>
        <w:rPr>
          <w:rFonts w:ascii="Times New Roman" w:cs="Times New Roman" w:eastAsia="Times New Roman" w:hAnsi="Times New Roman"/>
          <w:sz w:val="22"/>
          <w:szCs w:val="22"/>
          <w:u w:val="single" w:color="auto"/>
          <w:color w:val="auto"/>
        </w:rPr>
        <w:t>Counterparts; Facsimile Delivery</w:t>
      </w:r>
      <w:r>
        <w:rPr>
          <w:rFonts w:ascii="Times New Roman" w:cs="Times New Roman" w:eastAsia="Times New Roman" w:hAnsi="Times New Roman"/>
          <w:sz w:val="22"/>
          <w:szCs w:val="22"/>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Delivery by facsimile of an executed signature page of this Agreement shall be effective as delivery of an executed counterpart hereof.</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11.8 </w:t>
      </w:r>
      <w:r>
        <w:rPr>
          <w:rFonts w:ascii="Times New Roman" w:cs="Times New Roman" w:eastAsia="Times New Roman" w:hAnsi="Times New Roman"/>
          <w:sz w:val="22"/>
          <w:szCs w:val="22"/>
          <w:u w:val="single" w:color="auto"/>
          <w:color w:val="auto"/>
        </w:rPr>
        <w:t>Successors, Assigns and Participants; Binding Effect</w:t>
      </w:r>
      <w:r>
        <w:rPr>
          <w:rFonts w:ascii="Times New Roman" w:cs="Times New Roman" w:eastAsia="Times New Roman" w:hAnsi="Times New Roman"/>
          <w:sz w:val="22"/>
          <w:szCs w:val="22"/>
          <w:color w:val="auto"/>
        </w:rPr>
        <w:t xml:space="preserve">. (a) This Agreement shall be binding on the parties hereto and their respective successors and assigns;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the SPV, the Servicer or the Originators may assign any of its rights or delegate any of its duties hereunder or under the First Tier Agreement or under any of the other Transaction Documents to which it is a party without the prior written consent of each Managing Agent. Except as provided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no provision of this Agreement shall in any manner restrict the ability of any Investor to assign, participate, grant security interests in, or otherwise transfer any portion of the Asset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1" w:right="339" w:bottom="1440" w:gutter="0" w:footer="0" w:header="0"/>
        </w:sectPr>
      </w:pPr>
    </w:p>
    <w:bookmarkStart w:id="146" w:name="page147"/>
    <w:bookmarkEnd w:id="146"/>
    <w:p>
      <w:pPr>
        <w:jc w:val="both"/>
        <w:ind w:left="-220" w:firstLine="1304"/>
        <w:spacing w:after="0" w:line="246" w:lineRule="auto"/>
        <w:tabs>
          <w:tab w:leader="none" w:pos="171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Committed Investor may assign all or any portion of its Commitment and its interest in the Net Investment, the Asset Interest and its other rights and obligations hereunder to any Person (other than a Disqualified Investor) with the written approval of the applicable Administrator, on behalf of its Conduit Investor, and the applicable Managing Agent and, if no Termination Event is continuing, with the consent of the SPV (such consent not to be unreasonably withheld). In connection with any such assignment, the assignor shall deliver to the assignee(s) an Assignment and Assumption Agreement, duly executed, assigning to such assignee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interest in such assignor’s Commitment and other obligations hereunder and in the Net Investment, the Asset Interest and other rights hereunder, and such assignor shall promptly execute and deliver all further instruments and documents, and take all further action, that the assignee may reasonably request, in order to protect, or more fully evidence, the assignee’s right, title and interest in and to such interest and to enable the Agent, on behalf of such assignee, to exercise or enforce any rights hereunder and under the other Transaction Documents to which such assignor is or, immediately prior to such assignment, was a party. Upon any such assignment, (i) the assignee shall have all of the rights and obligations of the assignor hereunder and under the other Transaction Documents to which such assignor is or, immediately prior to such assignment, was a party with respect to such assignor’s Commitment and interest in the Net Investment and the Asset Interest for all purposes of this Agreement and under the other Transaction Documents to which such assignor is or, immediately prior to such assignment, was a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assignee (including an assignee that is already an Investor hereunder at the time of the assignment) shall be entitled to receive any greater amount pursuant to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than that to which the assignor would have been entitled had no such assignment occurred) and (ii) the assignor shall have no further obligations with respect to the portion of its Commitment which has been assigned and shall relinquish its rights with respect to the portion of its interest in the Net Investment and the Asset Interest which has been assigned for all purposes of this Agreement and under the other Transaction Documents to which such assignor is or, immediately prior to such assignment, was a party. No such assignment shall be effective unless a fully executed copy of the related Assignment and Assumption Agreement shall be delivered to the Agent and the SPV. In addition, if the assignee is not already an Investor, such assignee shall deliver to the Agent, the SPV and the Servicer, all applicable tax documentation (whether pursuant to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or otherwise) requested by the Agent, the SPV or the Servicer. All costs and expenses of the Agent incurred in connection with any assignment hereunder shall be borne by the assignee. No Committed Investor shall assign any portion of its Commitment hereunder without also simultaneously assigning an equal portion of its interest in the Program Support Agreement to which it is a party or under which it has acquired a participation.</w:t>
      </w:r>
    </w:p>
    <w:p>
      <w:pPr>
        <w:spacing w:after="0" w:line="207" w:lineRule="exact"/>
        <w:rPr>
          <w:rFonts w:ascii="Times New Roman" w:cs="Times New Roman" w:eastAsia="Times New Roman" w:hAnsi="Times New Roman"/>
          <w:sz w:val="22"/>
          <w:szCs w:val="22"/>
          <w:color w:val="auto"/>
        </w:rPr>
      </w:pPr>
    </w:p>
    <w:p>
      <w:pPr>
        <w:jc w:val="both"/>
        <w:ind w:left="-220" w:firstLine="1304"/>
        <w:spacing w:after="0" w:line="250" w:lineRule="auto"/>
        <w:tabs>
          <w:tab w:leader="none" w:pos="172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an Assignment and Assumption Agreement, the assignor and assignee thereunder confirm to and agree with each other and the other parties hereto as follows: (i) other than as provided in such Assignment and Assumption Agreement, the assignor makes no representation or warranty and assumes no responsibility with respect to any statements, warranties or representations made in or in connection with this Agreement, the other Transaction Documents or any other instrument or document furnished pursuant hereto or thereto or the execution, legality, validity, enforceability, genuineness, sufficiency or value or this Agreement, the other Transaction Documents or any such other instrument or document; (ii) the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020"/>
          </w:cols>
          <w:pgMar w:left="540" w:top="1421" w:right="339" w:bottom="1440" w:gutter="0" w:footer="0" w:header="0"/>
        </w:sectPr>
      </w:pPr>
    </w:p>
    <w:bookmarkStart w:id="147" w:name="page148"/>
    <w:bookmarkEnd w:id="147"/>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assignor makes no representation or warranty and assumes no responsibility with respect to the financial condition of the SPV, any Originator or the Servicer or the performance or observance by the SPV, any Originator or the Servicer of any of their respective obligations under this Agreement, the First Tier Agreement, the other Transaction Documents or any other instrument or document furnished pursuant hereto; (iii) such assignee confirms that it has received a copy of this Agreement, the First Tier Agreement, each other Transaction Document and such other instruments, documents and information as it has deemed appropriate to make its own credit analysis and decision to enter into such Assignment and Assumption Agreement and to purchase such interest; (iv) such assignee will, independently and without reliance upon the Agent, any Managing Agent, any Investor or any of their Affiliates, or the assignor and based on such agreements, documents and information as it shall deem appropriate at the time, continue to make its own credit decisions in taking or not taking action under this Agreement and the other Transaction Documents; (v) such assignee appoints and authorizes the Agent and its Managing Agent to take such action as agent on its behalf and to exercise such powers under this Agreement, the other Transaction Documents and any other instrument or document furnished pursuant hereto or thereto as are delegated to the Agent or its Managing Agent, as applicable, by the terms hereof or thereof, together with such powers as are reasonably incidental thereto and to enforce its respective rights and interests in and under this Agreement, the other Transaction Documents and the Affected Assets; (vi) such assignee agrees that it will perform in accordance with their terms all of the obligations which by the terms of this Agreement and the other Transaction Documents are required to be performed by it as the assignee of the assignor; and (vii) such assignee agrees that it will not institute against any Conduit Investor any proceeding of the type referred to in </w:t>
      </w:r>
      <w:r>
        <w:rPr>
          <w:rFonts w:ascii="Times New Roman" w:cs="Times New Roman" w:eastAsia="Times New Roman" w:hAnsi="Times New Roman"/>
          <w:sz w:val="21"/>
          <w:szCs w:val="21"/>
          <w:u w:val="single" w:color="auto"/>
          <w:color w:val="auto"/>
        </w:rPr>
        <w:t>Section 11.11</w:t>
      </w:r>
      <w:r>
        <w:rPr>
          <w:rFonts w:ascii="Times New Roman" w:cs="Times New Roman" w:eastAsia="Times New Roman" w:hAnsi="Times New Roman"/>
          <w:sz w:val="21"/>
          <w:szCs w:val="21"/>
          <w:color w:val="auto"/>
        </w:rPr>
        <w:t xml:space="preserve"> prior to the date which is one (1) year and one (1) day after the payment in full of all Commercial Paper of such Conduit Investor.</w:t>
      </w:r>
    </w:p>
    <w:p>
      <w:pPr>
        <w:spacing w:after="0" w:line="183" w:lineRule="exact"/>
        <w:rPr>
          <w:sz w:val="20"/>
          <w:szCs w:val="20"/>
          <w:color w:val="auto"/>
        </w:rPr>
      </w:pPr>
    </w:p>
    <w:p>
      <w:pPr>
        <w:jc w:val="both"/>
        <w:ind w:firstLine="1304"/>
        <w:spacing w:after="0" w:line="260" w:lineRule="auto"/>
        <w:tabs>
          <w:tab w:leader="none" w:pos="193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a Conduit Investor may, from time to time, with prior or concurrent notice to the SPV and the Servicer, in one transaction or a series of transactions, assign all or a portion of the Net Investment and its rights and obligations under this Agreement and any other Transaction Documents to which it is a party to a Conduit Assignee or Related Conduit Investor, as applicable. Upon and to the extent of such assignment by a Conduit Investor to a Conduit Assignee or a Related Conduit Investor, (i) such Conduit Assignee or Related Conduit Investor, as applicable, shall be the owner of the assigned portion of the Net Investment, (ii) the related Administrator for such Conduit Assignee will act as the Administrator for such Conduit Assignee, with all corresponding rights and powers, express or implied, granted to the Administrator hereunder or under the other Transaction Documents, (iii) such Conduit Assignee (and any related commercial paper issuer, if such Conduit Assignee does not itself issue commercial paper) and their respective liquidity support provider(s) and credit support provider(s) and other related parties shall have the benefit of all the rights and protections provided to the Conduit Investor and its Program Support Provider(s) herein and in the other Transaction Documents (including any limitation on recourse against such Conduit Assignee or related parties, any agreement not to file or join in the filing of a petition to commence an insolvency proceeding against such Conduit Assignee, and the right to assign to another Conduit Assignee as provided in this paragraph), (iv) such Conduit Assignee or Related Conduit Investor, as applicable, shall assume all (or the assigned or assumed portion) of the Conduit Investor’s obligations, if any, hereunder or any other Transaction Document, and the Conduit Investor shall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be released from such obligations, in each case to the extent of such assignment, and the obligations of the Conduit Investor and such Conduit Assignee or Related Conduit Investor, as applicable, shall be several and not joint, (v) all distributions in respect of the Net Investment shall be made to the applicable Managing Agent or the related Administrator, as applicable, on behalf of the Conduit Investor and such Conduit Assignee or Related Conduit Investor, as applicable,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according to their respective interests, (vi) [reserved], (vii) the defined terms and other terms and provisions of this Agreement and the other Transaction Documents shall be interpreted in accordance with the foregoing, (viii) the Conduit Assignee, if it shall not be an Investor already, shall deliver to the Agent, the SPV and the Servicer, all applicable tax documentation reasonably requested by the Agent, the SPV or the Servicer and (ix) if requested by the related Managing Agent or the related Administrator with respect to the Conduit Assignee, the parties will execute and deliver such further agreements and documents and take such other actions as the related Managing Agent or such Administrator may reasonably request to evidence and give effect to the foregoing. No assignment by a Conduit Investor to a Conduit Assignee or Related Conduit Investor, as applicable, of all or any portion of the Net Investment shall in any way diminish the related Committed Investors’ obligations under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to fund any Investment not funded by the related Conduit Investor or such Conduit Assignee or to acquire from the Conduit Investor or such Conduit Assignee or Related Conduit Investor, as applicable, all or any portion of the Net Investment pursuant to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w:t>
      </w:r>
    </w:p>
    <w:p>
      <w:pPr>
        <w:spacing w:after="0" w:line="185" w:lineRule="exact"/>
        <w:rPr>
          <w:sz w:val="20"/>
          <w:szCs w:val="20"/>
          <w:color w:val="auto"/>
        </w:rPr>
      </w:pPr>
    </w:p>
    <w:p>
      <w:pPr>
        <w:jc w:val="both"/>
        <w:ind w:firstLine="1304"/>
        <w:spacing w:after="0" w:line="262" w:lineRule="auto"/>
        <w:tabs>
          <w:tab w:leader="none" w:pos="1941"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a Conduit Investor makes an assignment to a Conduit Assignee or Related Conduit Investor, as applicable, in accordance with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above, the Related Committed Investors: (i) if requested by the related Administrator, shall terminate their participation in the applicable Program Support Agreement to the extent of such assignment,</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32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the related Administrator, shall execute (either directly or through a participation agreement, as determined by such Administrator) the program support agreement related to such Conduit Assignee, to the extent of such assignment, the terms of which shall be substantially similar to those of the participation or other agreement entered into by such Committed Investor with respect to the applicable Program Support Agreement (or which shall be otherwise reasonably satisfactory to the Administrator and the Related Committed Investors), (iii) if requested by the related Conduit Investor, shall enter into such agreements as requested by such Conduit Investor pursuant to which they shall be obligated to provide funding to the Conduit Assignee or Related Conduit Investor, as applicable, on substantially the same terms and conditions as is provided for in this Agreement in respect of such Conduit Investor (or which agreements shall be otherwise reasonably satisfactory to such Conduit Investor and the Committed Investors), and (iv) shall take such actions as the Agent shall reasonably request in connection therewith.</w:t>
      </w:r>
    </w:p>
    <w:p>
      <w:pPr>
        <w:spacing w:after="0" w:line="19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SPV, the Servicer and the Originators hereby agrees and consents to the assignment by any Conduit Investor from time to time pursuant to this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of all or any part of its rights under, interest in and title to this Agreement and the Asset Interest to any Program Support Provider.</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shall, on behalf of the SPV, maintain at its address referred to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a copy of each Assignment and Assumption Agreement delivered to it and 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49" w:lineRule="auto"/>
        <w:rPr>
          <w:sz w:val="20"/>
          <w:szCs w:val="20"/>
          <w:color w:val="auto"/>
        </w:rPr>
      </w:pPr>
      <w:r>
        <w:rPr>
          <w:rFonts w:ascii="Times New Roman" w:cs="Times New Roman" w:eastAsia="Times New Roman" w:hAnsi="Times New Roman"/>
          <w:sz w:val="22"/>
          <w:szCs w:val="22"/>
          <w:color w:val="auto"/>
        </w:rPr>
        <w:t>register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on or in which it will record the names and addresses of the Investors and assignees, and the Commitments of, and interest in the Net Investment of each Investor and assignee from time to time. The entries in the Register shall be conclusive, in the absence of manifest error, and the SPV, the Agent, and the Secured Parties shall treat each person whose name is recorded in the Register as the owner of the interest in the Net Investment recorded therein for all purposes of this Agreement. Any assignment of any Commitment and interest in the Net Investment and Asset Interest shall be effective only upon appropriate entries with respect thereto being made in the Register. The Agent will make the Register available to the SPV and any Investor (with respect to any entry relating to such Investor) at any reasonable time and from time to time upon reasonable prior notice.</w:t>
      </w:r>
    </w:p>
    <w:p>
      <w:pPr>
        <w:spacing w:after="0" w:line="195" w:lineRule="exact"/>
        <w:rPr>
          <w:sz w:val="20"/>
          <w:szCs w:val="20"/>
          <w:color w:val="auto"/>
        </w:rPr>
      </w:pPr>
    </w:p>
    <w:p>
      <w:pPr>
        <w:jc w:val="both"/>
        <w:ind w:firstLine="1304"/>
        <w:spacing w:after="0" w:line="263" w:lineRule="auto"/>
        <w:tabs>
          <w:tab w:leader="none" w:pos="1939"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Agreement to the contrary, any Investor may at any time pledge or grant a security interest in all or any portion of its rights (including any portion of the Net Investment and any rights to payment of the outstanding Net Investment and Yield) under this Agreement to secure obligations of such Investor to a Federal Reserve Bank, the U.S. Treasury or the Federal Deposit Insurance Corporation without notice to, or the consent of, any Originator, the SPV, Greif, Inc. or any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pledge or grant of a security interest shall release an Investor from any of its obligations hereunder, or substitute any such pledgee or grantee for such Investor as a party hereto.</w:t>
      </w:r>
    </w:p>
    <w:p>
      <w:pPr>
        <w:spacing w:after="0" w:line="180"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2"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Conduit Investor or any Committed Investor may sell to one or more Related Conduit Investors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participating interests in all or any portion of its rights and interests hereunder, without notice to, or the consent of, the SPV or the Servicer. Such Conduit Investor or such Committed Investor shall remain solely responsible for performing its obligations hereunder, and each of the SPV and the Servicer shall continue to deal solely and directly with such Conduit Investor or such Committed Investor and its related Administrator in connection with the rights and interests of such Conduit Investor or such Committed Investor. Each Participant shall be entitled to the benefits of Article IX to the same extent as if it were a Conduit Investor or a Committed Investor hereunder.</w:t>
      </w:r>
    </w:p>
    <w:p>
      <w:pPr>
        <w:spacing w:after="0" w:line="18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11.9 </w:t>
      </w:r>
      <w:r>
        <w:rPr>
          <w:rFonts w:ascii="Times New Roman" w:cs="Times New Roman" w:eastAsia="Times New Roman" w:hAnsi="Times New Roman"/>
          <w:sz w:val="22"/>
          <w:szCs w:val="22"/>
          <w:u w:val="single" w:color="auto"/>
          <w:color w:val="auto"/>
        </w:rPr>
        <w:t>Waiver of Confidentiality</w:t>
      </w:r>
      <w:r>
        <w:rPr>
          <w:rFonts w:ascii="Times New Roman" w:cs="Times New Roman" w:eastAsia="Times New Roman" w:hAnsi="Times New Roman"/>
          <w:sz w:val="22"/>
          <w:szCs w:val="22"/>
          <w:color w:val="auto"/>
        </w:rPr>
        <w:t>. Each of the SPV, the Servicer and the Originators hereby consents to the disclosure of any non-public information with respect to it received by the Agent, any Managing Agent, any Investor or any Administrator to any other Investor or potential Investor, any Managing Agent, any nationally recognized statistical rating organization rating a Conduit Investor’s Commercial Paper or otherwise in accordance with Rule 17g-5 of the Securities Exchange Act of 1934, any dealer or placement agent of or depositary for the Conduit Investor’s Commercial Paper, any Administrator, any Program Support Provider, any credit/financing provider to any Conduit Investor or any of such Person’s counsel or accountants in relation to this Agreement or any other Transaction Document if they agree to hold it confidential pursuant to a written agreement of confidentiality in form and substance reasonably satisfactory to the SPV, or to the extent required or requested by any regulatory authority purporting to have jurisdiction over such Person (including any self-regulatory authority, such as the National Association of Insurance Commissioners). Subject to the foregoing, the Agent, the Managing Agents, the Investors, the Program Support Providers and the Administrators hereby agree to maintain the confidentiality of any non-public information.</w:t>
      </w: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21" w:right="339" w:bottom="1440" w:gutter="0" w:footer="0" w:header="0"/>
        </w:sectPr>
      </w:pPr>
    </w:p>
    <w:bookmarkStart w:id="150" w:name="page151"/>
    <w:bookmarkEnd w:id="150"/>
    <w:p>
      <w:pPr>
        <w:spacing w:after="0" w:line="200" w:lineRule="exact"/>
        <w:rPr>
          <w:sz w:val="20"/>
          <w:szCs w:val="20"/>
          <w:color w:val="auto"/>
        </w:rPr>
      </w:pPr>
    </w:p>
    <w:p>
      <w:pPr>
        <w:spacing w:after="0" w:line="24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xml:space="preserve">. Each of the SPV, the Servicer and the Originators hereby agrees that it will not disclose the contents of this Agreement or any other Transaction Document or any other proprietary or confidential information of or with respect to any Investor, the Agent, any Managing Agent, any Administrator or any Program Support Provider to any other Person except (a) its auditors and attorneys, employees or financial advisors (other than any commercial bank) and any nationally recognized statistical rating organization,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auditors, attorneys, employees, financial advisors or rating agencies are informed of the highly confidential nature of such information and agree to use such information solely in connection with their evaluation of, or relationship with, the SPV, the Servicer and its affiliates, (b) as otherwise required by applicable law or order of a court of competent jurisdiction or (c) as disclosed in any public filing. For the avoidance of doubt, and notwithstanding anything to the contrary herein, nothing in this Agreement is intended or shall be deemed to prohibit or restrict any individual from communicating or disclosing information regarding suspected violations of laws, rules, or regulations to a governmental, regulatory, or self-regulatory authority, without any notification to any person.</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No Bankruptcy Petition Against the Conduit Investor</w:t>
      </w:r>
      <w:r>
        <w:rPr>
          <w:rFonts w:ascii="Times New Roman" w:cs="Times New Roman" w:eastAsia="Times New Roman" w:hAnsi="Times New Roman"/>
          <w:sz w:val="22"/>
          <w:szCs w:val="22"/>
          <w:color w:val="auto"/>
        </w:rPr>
        <w:t>. Each of the SPV, the Servicer and the Originators hereby covenants and agrees that, prior to the date which is one (1) year and one (1) day after the payment in full of all outstanding Commercial Paper or other rated indebtedness of any Conduit Investor (or its related commercial paper issuer), it will not institute against, or join any other Person in instituting against, such Conduit Investor any proceeding of a type referred to in the definition of Event of Bankruptcy.</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11.12 </w:t>
      </w:r>
      <w:r>
        <w:rPr>
          <w:rFonts w:ascii="Times New Roman" w:cs="Times New Roman" w:eastAsia="Times New Roman" w:hAnsi="Times New Roman"/>
          <w:sz w:val="22"/>
          <w:szCs w:val="22"/>
          <w:u w:val="single" w:color="auto"/>
          <w:color w:val="auto"/>
        </w:rPr>
        <w:t>No Recourse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the obligations of any Conduit Investor under this Agreement and all other Transaction Documents are solely the corporate obligations of such Conduit Investor and shall be payable solely to the extent of funds received from the SPV in accordance herewith or from any party to any Transaction Document in accordance with the terms thereof are in excess of funds necessary to pay its matured and maturing Commercial Paper.</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which such Conduit Investors does not pay pursuant to the operation of the preceding sentence shall not constitute a claim (as defined in §101 of the Bankruptcy Code) against or corporate obligation of such Conduit Investors for any such insufficiency unless and until such Conduit Investors satisfies the provisions above.</w:t>
      </w:r>
    </w:p>
    <w:p>
      <w:pPr>
        <w:spacing w:after="0" w:line="16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11.12</w:t>
      </w:r>
      <w:r>
        <w:rPr>
          <w:rFonts w:ascii="Times New Roman" w:cs="Times New Roman" w:eastAsia="Times New Roman" w:hAnsi="Times New Roman"/>
          <w:sz w:val="22"/>
          <w:szCs w:val="22"/>
          <w:color w:val="auto"/>
        </w:rPr>
        <w:t xml:space="preserve"> shall survive termination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No Proceedings; Limitations on Payments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1304"/>
        <w:spacing w:after="0" w:line="271" w:lineRule="auto"/>
        <w:tabs>
          <w:tab w:leader="none" w:pos="194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by entering into this Agreement, hereby covenants and agrees that it will not at any time institute against the SPV, or join in 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40" w:right="339" w:bottom="1440" w:gutter="0" w:footer="0" w:header="0"/>
        </w:sectPr>
      </w:pPr>
    </w:p>
    <w:bookmarkStart w:id="151" w:name="page152"/>
    <w:bookmarkEnd w:id="151"/>
    <w:p>
      <w:pPr>
        <w:jc w:val="both"/>
        <w:spacing w:after="0" w:line="257" w:lineRule="auto"/>
        <w:rPr>
          <w:sz w:val="20"/>
          <w:szCs w:val="20"/>
          <w:color w:val="auto"/>
        </w:rPr>
      </w:pPr>
      <w:r>
        <w:rPr>
          <w:rFonts w:ascii="Times New Roman" w:cs="Times New Roman" w:eastAsia="Times New Roman" w:hAnsi="Times New Roman"/>
          <w:sz w:val="22"/>
          <w:szCs w:val="22"/>
          <w:color w:val="auto"/>
        </w:rPr>
        <w:t>institution against the SPV of, any bankruptcy, reorganization, arrangement, insolvency or liquidation proceedings, or other proceedings under any United States federal or State bankruptcy or similar law in connection with any of the SPV’s obligations under this Agreement or other Transaction Documents.</w:t>
      </w:r>
    </w:p>
    <w:p>
      <w:pPr>
        <w:spacing w:after="0" w:line="186" w:lineRule="exact"/>
        <w:rPr>
          <w:sz w:val="20"/>
          <w:szCs w:val="20"/>
          <w:color w:val="auto"/>
        </w:rPr>
      </w:pPr>
    </w:p>
    <w:p>
      <w:pPr>
        <w:jc w:val="both"/>
        <w:ind w:firstLine="1304"/>
        <w:spacing w:after="0" w:line="250" w:lineRule="auto"/>
        <w:tabs>
          <w:tab w:leader="none" w:pos="193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provisions contained in this Agreement to the contrary, the parties hereto acknowledge and agree that (i) all amounts payable by the SPV hereunder and under the other Transaction Documents shall be paid in accordance with the priorities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xml:space="preserve"> and (ii) the SPV shall only be required to pay amounts payable by the SPV hereunder and under the other Transaction Documents from funds of the SPV other than the proceeds of the Affected Assets to the extent it has such funds. Any amounts which the SPV does not pay pursuant to the operation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the preceding sentence shall not constitute a claim (as defined in §101 of the Bankruptcy Code) against or corporate obligation of the SPV for any such insufficiency unless and until the SPV satisfies the provisions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w:t>
      </w:r>
    </w:p>
    <w:p>
      <w:pPr>
        <w:spacing w:after="0" w:line="18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11.13</w:t>
      </w:r>
      <w:r>
        <w:rPr>
          <w:rFonts w:ascii="Times New Roman" w:cs="Times New Roman" w:eastAsia="Times New Roman" w:hAnsi="Times New Roman"/>
          <w:sz w:val="22"/>
          <w:szCs w:val="22"/>
          <w:color w:val="auto"/>
        </w:rPr>
        <w:t xml:space="preserve"> shall survive termination of this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Amendment and Restatement</w:t>
      </w:r>
      <w:r>
        <w:rPr>
          <w:rFonts w:ascii="Times New Roman" w:cs="Times New Roman" w:eastAsia="Times New Roman" w:hAnsi="Times New Roman"/>
          <w:sz w:val="22"/>
          <w:szCs w:val="22"/>
          <w:color w:val="auto"/>
        </w:rPr>
        <w:t>. This Agreement amends, restates, supersedes and replaces the Existing Agreement in its entirety.</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Each of the Agent-Related Persons hereby notifies the SPV that pursuant to the requirements of the USA PATRIOT Act, Title III of Pub. L. 107 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the Agent-Related Persons may be required to obtain, verify and record information that identifies the SPV, which information includes the name, address, tax identification number and other information regarding the SPV that will allow the Agent-Related Persons to identify the SPV in accordance with the PATRIOT Act. This notice is given in accordance with the requirements of the PATRIOT Act. The SPV shall promptly following a request by such Agent-Related Persons respond to any KYC Request and provide the Agent-Related Persons, from time to time, all documentation and other information that such Agent-Related Person requests in order for such Agent-Related Person to comply with its ongoing obligations under applicable “know your customer” and anti money laundering rules and regulations, including, without limitation, the PATRIOT Act and the Beneficial Ownership Rule.</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11.16 </w:t>
      </w:r>
      <w:r>
        <w:rPr>
          <w:rFonts w:ascii="Times New Roman" w:cs="Times New Roman" w:eastAsia="Times New Roman" w:hAnsi="Times New Roman"/>
          <w:sz w:val="22"/>
          <w:szCs w:val="22"/>
          <w:u w:val="single" w:color="auto"/>
          <w:color w:val="auto"/>
        </w:rPr>
        <w:t>Waiver of Consequential Damages, Etc.</w:t>
      </w:r>
      <w:r>
        <w:rPr>
          <w:rFonts w:ascii="Times New Roman" w:cs="Times New Roman" w:eastAsia="Times New Roman" w:hAnsi="Times New Roman"/>
          <w:sz w:val="22"/>
          <w:szCs w:val="22"/>
          <w:color w:val="auto"/>
        </w:rPr>
        <w:t xml:space="preserve"> To the fullest extent permitted by applicable law, the SPV shall not assert any claim against any Agent-Related Person or their respective members, directors, officers, employees, agents, trustees, administrators, managers or advisors on any theory of liability, for special, indirect, consequential or punitive damages (as opposed to direct or actual damages) arising out of, in connection with, or as a result of, this Agreement, any other Transaction Document or any agreement or instrument contemplated hereby, the transactions contemplated hereby or thereby. No Agent-Related Person or their respective members, directors, officers, employees, agents, trustees, administrators, managers or advisors referred to above shall be liable for any damages arising from the use by unintended</w:t>
      </w: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53" w:lineRule="auto"/>
        <w:rPr>
          <w:sz w:val="20"/>
          <w:szCs w:val="20"/>
          <w:color w:val="auto"/>
        </w:rPr>
      </w:pPr>
      <w:r>
        <w:rPr>
          <w:rFonts w:ascii="Times New Roman" w:cs="Times New Roman" w:eastAsia="Times New Roman" w:hAnsi="Times New Roman"/>
          <w:sz w:val="22"/>
          <w:szCs w:val="22"/>
          <w:color w:val="auto"/>
        </w:rPr>
        <w:t>recipients of any information or other materials distributed to such unintended recipients by such Agent-Related Person through telecommunications, electronic or other information transmission systems in connection with this Agreement or the other Transaction Documents or the transactions contemplated hereby or thereby other than for direct or actual damages resulting from the gross negligence or willful misconduct of such Agent-Related Persons as determined by a final and nonappealable judgment of a court of competent jurisdiction.</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11.17 </w:t>
      </w:r>
      <w:r>
        <w:rPr>
          <w:rFonts w:ascii="Times New Roman" w:cs="Times New Roman" w:eastAsia="Times New Roman" w:hAnsi="Times New Roman"/>
          <w:sz w:val="21"/>
          <w:szCs w:val="21"/>
          <w:u w:val="single" w:color="auto"/>
          <w:color w:val="auto"/>
        </w:rPr>
        <w:t>Electronic Records.</w:t>
      </w:r>
      <w:r>
        <w:rPr>
          <w:rFonts w:ascii="Times New Roman" w:cs="Times New Roman" w:eastAsia="Times New Roman" w:hAnsi="Times New Roman"/>
          <w:sz w:val="21"/>
          <w:szCs w:val="21"/>
          <w:color w:val="auto"/>
        </w:rPr>
        <w:t xml:space="preserve"> This Agreement and any document, amendment, approval, consent, information, notice, certificate, request, statement, disclosure or authorization related to this Agreement, including Communications required to be in writing, may be in the form of an Electronic Record and may be executed using Electronic Signatures. Each of the Seller Parties and each of the Secured Parties agrees that any Electronic Signature on or associated with any Communication shall be valid and binding on each of the Seller Parties or such Secured Party, as applicable, to the same extent as a manual, original signature, and that any Communication entered into by Electronic Signature, will constitute the legal, valid and binding obligation of each of the Seller Parties or such Secured Party, as applicable, enforceable against such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Agent and each of the Investor Groups of a manually signed paper Communication which has been converted into electronic form (such as scanned into PDF format), or an electronically signed Communication converted into another format, for transmission, delivery and/or retention. The Agent and each of Investor Groups may, at its option, create one or more copies of any Communication in the form of an imaged Electronic Record (“</w:t>
      </w:r>
      <w:r>
        <w:rPr>
          <w:rFonts w:ascii="Times New Roman" w:cs="Times New Roman" w:eastAsia="Times New Roman" w:hAnsi="Times New Roman"/>
          <w:sz w:val="21"/>
          <w:szCs w:val="21"/>
          <w:u w:val="single" w:color="auto"/>
          <w:color w:val="auto"/>
        </w:rPr>
        <w:t>Electronic Copy</w:t>
      </w:r>
      <w:r>
        <w:rPr>
          <w:rFonts w:ascii="Times New Roman" w:cs="Times New Roman" w:eastAsia="Times New Roman" w:hAnsi="Times New Roman"/>
          <w:sz w:val="21"/>
          <w:szCs w:val="21"/>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Agent is under no obligation to accept an Electronic Signature in any form or in any format unless expressly agreed to by the Agent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(a) to the extent the Agent has agreed to accept such Electronic Signature, the Agent and each of the Investor Groups shall be entitled to rely on any such Electronic Signature purportedly given by or on behalf of any Seller Party without further verification and (b) upon the request of the Agent, any Managing Agent or any Investor, any Electronic Signature shall be promptly followed by such manually executed counterpart. For purposes hereof, “</w:t>
      </w:r>
      <w:r>
        <w:rPr>
          <w:rFonts w:ascii="Times New Roman" w:cs="Times New Roman" w:eastAsia="Times New Roman" w:hAnsi="Times New Roman"/>
          <w:sz w:val="21"/>
          <w:szCs w:val="21"/>
          <w:u w:val="single" w:color="auto"/>
          <w:color w:val="auto"/>
        </w:rPr>
        <w:t>Electronic Record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shall have the meanings assigned to them, respectively, by 15 USC §7006,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11.18 </w:t>
      </w:r>
      <w:r>
        <w:rPr>
          <w:rFonts w:ascii="Times New Roman" w:cs="Times New Roman" w:eastAsia="Times New Roman" w:hAnsi="Times New Roman"/>
          <w:sz w:val="22"/>
          <w:szCs w:val="22"/>
          <w:u w:val="single" w:color="auto"/>
          <w:color w:val="auto"/>
        </w:rPr>
        <w:t>Acknowledgement Regarding Any Supported QFCs</w:t>
      </w:r>
      <w:r>
        <w:rPr>
          <w:rFonts w:ascii="Times New Roman" w:cs="Times New Roman" w:eastAsia="Times New Roman" w:hAnsi="Times New Roman"/>
          <w:sz w:val="22"/>
          <w:szCs w:val="22"/>
          <w:color w:val="auto"/>
        </w:rPr>
        <w:t>. To the extent that the Transaction Documents provide support, through a guarantee or otherwise, for any Swap Contract or any other agreement or instrument that is a QFC (such support, “</w:t>
      </w:r>
      <w:r>
        <w:rPr>
          <w:rFonts w:ascii="Times New Roman" w:cs="Times New Roman" w:eastAsia="Times New Roman" w:hAnsi="Times New Roman"/>
          <w:sz w:val="22"/>
          <w:szCs w:val="22"/>
          <w:u w:val="single" w:color="auto"/>
          <w:color w:val="auto"/>
        </w:rPr>
        <w:t>QFC Credit</w:t>
      </w: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24" w:lineRule="exact"/>
        <w:rPr>
          <w:sz w:val="20"/>
          <w:szCs w:val="20"/>
          <w:color w:val="auto"/>
        </w:rPr>
      </w:pPr>
    </w:p>
    <w:p>
      <w:pPr>
        <w:jc w:val="both"/>
        <w:ind w:firstLine="1304"/>
        <w:spacing w:after="0" w:line="248" w:lineRule="auto"/>
        <w:tabs>
          <w:tab w:leader="none" w:pos="194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Person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Investor or Agent-Related Person shall in no event affect the rights of any Covered Party with respect to a Supported QFC or any QFC Credit Support.</w:t>
      </w:r>
    </w:p>
    <w:p>
      <w:pPr>
        <w:spacing w:after="0" w:line="21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11.18</w:t>
      </w:r>
      <w:r>
        <w:rPr>
          <w:rFonts w:ascii="Times New Roman" w:cs="Times New Roman" w:eastAsia="Times New Roman" w:hAnsi="Times New Roman"/>
          <w:sz w:val="22"/>
          <w:szCs w:val="22"/>
          <w:color w:val="auto"/>
        </w:rPr>
        <w:t>, the following terms have the following meanings:</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22" w:right="339" w:bottom="1440" w:gutter="0" w:footer="0" w:header="0"/>
        </w:sectPr>
      </w:pPr>
    </w:p>
    <w:bookmarkStart w:id="154" w:name="page155"/>
    <w:bookmarkEnd w:id="15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11.19 </w:t>
      </w:r>
      <w:r>
        <w:rPr>
          <w:rFonts w:ascii="Times New Roman" w:cs="Times New Roman" w:eastAsia="Times New Roman" w:hAnsi="Times New Roman"/>
          <w:sz w:val="22"/>
          <w:szCs w:val="22"/>
          <w:u w:val="single" w:color="auto"/>
          <w:color w:val="auto"/>
        </w:rPr>
        <w:t>Acknowledgement and Consent to Bail-In of EEA Financial Institutions</w:t>
      </w:r>
      <w:r>
        <w:rPr>
          <w:rFonts w:ascii="Times New Roman" w:cs="Times New Roman" w:eastAsia="Times New Roman" w:hAnsi="Times New Roman"/>
          <w:sz w:val="22"/>
          <w:szCs w:val="22"/>
          <w:color w:val="auto"/>
        </w:rPr>
        <w:t>. 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an applicable Resolution Authority and agrees and consents to, and acknowledges and agrees to be bound by:</w:t>
      </w:r>
    </w:p>
    <w:p>
      <w:pPr>
        <w:spacing w:after="0" w:line="200" w:lineRule="exact"/>
        <w:rPr>
          <w:sz w:val="20"/>
          <w:szCs w:val="20"/>
          <w:color w:val="auto"/>
        </w:rPr>
      </w:pPr>
    </w:p>
    <w:p>
      <w:pPr>
        <w:spacing w:after="0" w:line="222" w:lineRule="exact"/>
        <w:rPr>
          <w:sz w:val="20"/>
          <w:szCs w:val="20"/>
          <w:color w:val="auto"/>
        </w:rPr>
      </w:pPr>
    </w:p>
    <w:p>
      <w:pPr>
        <w:ind w:firstLine="1304"/>
        <w:spacing w:after="0" w:line="309" w:lineRule="auto"/>
        <w:tabs>
          <w:tab w:leader="none" w:pos="1941"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4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46"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9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203"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596"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[SIGNATURES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22" w:right="339" w:bottom="1440" w:gutter="0" w:footer="0" w:header="0"/>
        </w:sectPr>
      </w:pPr>
    </w:p>
    <w:bookmarkStart w:id="155" w:name="page156"/>
    <w:bookmarkEnd w:id="155"/>
    <w:p>
      <w:pPr>
        <w:ind w:left="50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executed and delivered this Agreement as of the date first written above.</w:t>
      </w:r>
    </w:p>
    <w:p>
      <w:pPr>
        <w:spacing w:after="0" w:line="200" w:lineRule="exact"/>
        <w:rPr>
          <w:sz w:val="20"/>
          <w:szCs w:val="20"/>
          <w:color w:val="auto"/>
        </w:rPr>
      </w:pPr>
    </w:p>
    <w:p>
      <w:pPr>
        <w:spacing w:after="0" w:line="2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GREIF RECEIVABLES FUNDING LLC</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-29210</wp:posOffset>
            </wp:positionV>
            <wp:extent cx="1421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GREIF PACKAGING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Individually, as an Originator and as the Servicer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AMERICAN FLANGE &amp; MANUFACTURING CO.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CARAUSTAR MILL GROUP,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0" w:lineRule="exact"/>
        <w:rPr>
          <w:sz w:val="20"/>
          <w:szCs w:val="20"/>
          <w:color w:val="auto"/>
        </w:rPr>
      </w:pPr>
    </w:p>
    <w:p>
      <w:pPr>
        <w:ind w:left="3740"/>
        <w:spacing w:after="0" w:line="275" w:lineRule="auto"/>
        <w:rPr>
          <w:sz w:val="20"/>
          <w:szCs w:val="20"/>
          <w:color w:val="auto"/>
        </w:rPr>
      </w:pPr>
      <w:r>
        <w:rPr>
          <w:rFonts w:ascii="Times New Roman" w:cs="Times New Roman" w:eastAsia="Times New Roman" w:hAnsi="Times New Roman"/>
          <w:sz w:val="22"/>
          <w:szCs w:val="22"/>
          <w:b w:val="1"/>
          <w:bCs w:val="1"/>
          <w:color w:val="auto"/>
        </w:rPr>
        <w:t>CARAUSTAR INDUSTRIAL AND CONSUMER PRODUCTS GROUP, INC.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Originator</w:t>
      </w:r>
    </w:p>
    <w:p>
      <w:pPr>
        <w:spacing w:after="0" w:line="1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S-1</w:t>
      </w:r>
      <w:r>
        <w:rPr>
          <w:sz w:val="20"/>
          <w:szCs w:val="20"/>
          <w:color w:val="auto"/>
        </w:rPr>
        <w:tab/>
      </w:r>
      <w:r>
        <w:rPr>
          <w:rFonts w:ascii="Times New Roman" w:cs="Times New Roman" w:eastAsia="Times New Roman" w:hAnsi="Times New Roman"/>
          <w:sz w:val="17"/>
          <w:szCs w:val="17"/>
          <w:i w:val="1"/>
          <w:iCs w:val="1"/>
          <w:color w:val="auto"/>
        </w:rPr>
        <w:t>Transfer and Administration Agreement</w:t>
      </w:r>
    </w:p>
    <w:p>
      <w:pPr>
        <w:sectPr>
          <w:pgSz w:w="11900" w:h="16838" w:orient="portrait"/>
          <w:cols w:equalWidth="0" w:num="1">
            <w:col w:w="11000"/>
          </w:cols>
          <w:pgMar w:left="480" w:top="1418" w:right="419" w:bottom="1440" w:gutter="0" w:footer="0" w:header="0"/>
        </w:sectPr>
      </w:pPr>
    </w:p>
    <w:bookmarkStart w:id="156" w:name="page157"/>
    <w:bookmarkEnd w:id="156"/>
    <w:p>
      <w:pPr>
        <w:spacing w:after="0" w:line="2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CARAUSTAR RECOVERED FIBER GROUP,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6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THE NEWARK GROUP, INC.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19" w:lineRule="exact"/>
        <w:rPr>
          <w:sz w:val="20"/>
          <w:szCs w:val="20"/>
          <w:color w:val="auto"/>
        </w:rPr>
      </w:pPr>
    </w:p>
    <w:p>
      <w:pPr>
        <w:ind w:left="3740" w:right="919"/>
        <w:spacing w:after="0" w:line="275" w:lineRule="auto"/>
        <w:rPr>
          <w:sz w:val="20"/>
          <w:szCs w:val="20"/>
          <w:color w:val="auto"/>
        </w:rPr>
      </w:pPr>
      <w:r>
        <w:rPr>
          <w:rFonts w:ascii="Times New Roman" w:cs="Times New Roman" w:eastAsia="Times New Roman" w:hAnsi="Times New Roman"/>
          <w:sz w:val="22"/>
          <w:szCs w:val="22"/>
          <w:b w:val="1"/>
          <w:bCs w:val="1"/>
          <w:color w:val="auto"/>
        </w:rPr>
        <w:t>CARAUSTAR CONSUMER PRODUCTS GROUP, LLC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an Originator</w:t>
      </w:r>
    </w:p>
    <w:p>
      <w:pPr>
        <w:spacing w:after="0" w:line="1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3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CASCADE PAPER CONVERTERS CO.</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7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CONTAINER LIFE CYCLE MANAGEMENT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21130" cy="8890"/>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S-2</w:t>
      </w:r>
      <w:r>
        <w:rPr>
          <w:sz w:val="20"/>
          <w:szCs w:val="20"/>
          <w:color w:val="auto"/>
        </w:rPr>
        <w:tab/>
      </w:r>
      <w:r>
        <w:rPr>
          <w:rFonts w:ascii="Times New Roman" w:cs="Times New Roman" w:eastAsia="Times New Roman" w:hAnsi="Times New Roman"/>
          <w:sz w:val="17"/>
          <w:szCs w:val="17"/>
          <w:i w:val="1"/>
          <w:iCs w:val="1"/>
          <w:color w:val="auto"/>
        </w:rPr>
        <w:t>Transfer and Administration Agreement</w:t>
      </w:r>
    </w:p>
    <w:p>
      <w:pPr>
        <w:sectPr>
          <w:pgSz w:w="11900" w:h="16838" w:orient="portrait"/>
          <w:cols w:equalWidth="0" w:num="1">
            <w:col w:w="9979"/>
          </w:cols>
          <w:pgMar w:left="480" w:top="1440" w:right="1440" w:bottom="1440" w:gutter="0" w:footer="0" w:header="0"/>
        </w:sectPr>
      </w:pPr>
    </w:p>
    <w:bookmarkStart w:id="157" w:name="page158"/>
    <w:bookmarkEnd w:id="157"/>
    <w:p>
      <w:pPr>
        <w:ind w:left="3740"/>
        <w:spacing w:after="0"/>
        <w:rPr>
          <w:sz w:val="20"/>
          <w:szCs w:val="20"/>
          <w:color w:val="auto"/>
        </w:rPr>
      </w:pPr>
      <w:r>
        <w:rPr>
          <w:rFonts w:ascii="Times New Roman" w:cs="Times New Roman" w:eastAsia="Times New Roman" w:hAnsi="Times New Roman"/>
          <w:sz w:val="22"/>
          <w:szCs w:val="22"/>
          <w:b w:val="1"/>
          <w:bCs w:val="1"/>
          <w:color w:val="auto"/>
        </w:rPr>
        <w:t>LEE CONTAINER,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1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LEE CONTAINER IOWA, LLC</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an Originator</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VIDHYA SRIRAM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4211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Vidhya Sriram</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Vice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S-3</w:t>
      </w:r>
      <w:r>
        <w:rPr>
          <w:sz w:val="20"/>
          <w:szCs w:val="20"/>
          <w:color w:val="auto"/>
        </w:rPr>
        <w:tab/>
      </w:r>
      <w:r>
        <w:rPr>
          <w:rFonts w:ascii="Times New Roman" w:cs="Times New Roman" w:eastAsia="Times New Roman" w:hAnsi="Times New Roman"/>
          <w:sz w:val="17"/>
          <w:szCs w:val="17"/>
          <w:i w:val="1"/>
          <w:iCs w:val="1"/>
          <w:color w:val="auto"/>
        </w:rPr>
        <w:t>Transfer and Administration Agreement</w:t>
      </w:r>
    </w:p>
    <w:p>
      <w:pPr>
        <w:sectPr>
          <w:pgSz w:w="11900" w:h="16838" w:orient="portrait"/>
          <w:cols w:equalWidth="0" w:num="1">
            <w:col w:w="9979"/>
          </w:cols>
          <w:pgMar w:left="480" w:top="1418" w:right="1440" w:bottom="1440" w:gutter="0" w:footer="0" w:header="0"/>
        </w:sectPr>
      </w:pPr>
    </w:p>
    <w:bookmarkStart w:id="158" w:name="page159"/>
    <w:bookmarkEnd w:id="158"/>
    <w:p>
      <w:pPr>
        <w:ind w:left="3740"/>
        <w:spacing w:after="0"/>
        <w:rPr>
          <w:sz w:val="20"/>
          <w:szCs w:val="20"/>
          <w:color w:val="auto"/>
        </w:rPr>
      </w:pPr>
      <w:r>
        <w:rPr>
          <w:rFonts w:ascii="Times New Roman" w:cs="Times New Roman" w:eastAsia="Times New Roman" w:hAnsi="Times New Roman"/>
          <w:sz w:val="22"/>
          <w:szCs w:val="22"/>
          <w:b w:val="1"/>
          <w:bCs w:val="1"/>
          <w:color w:val="auto"/>
        </w:rPr>
        <w:t>PNC BANK, NATIONAL ASSOCIATION,</w:t>
      </w:r>
    </w:p>
    <w:p>
      <w:pPr>
        <w:spacing w:after="0" w:line="32" w:lineRule="exact"/>
        <w:rPr>
          <w:sz w:val="20"/>
          <w:szCs w:val="20"/>
          <w:color w:val="auto"/>
        </w:rPr>
      </w:pPr>
    </w:p>
    <w:p>
      <w:pPr>
        <w:ind w:left="3740"/>
        <w:spacing w:after="0" w:line="248" w:lineRule="auto"/>
        <w:rPr>
          <w:sz w:val="20"/>
          <w:szCs w:val="20"/>
          <w:color w:val="auto"/>
        </w:rPr>
      </w:pPr>
      <w:r>
        <w:rPr>
          <w:rFonts w:ascii="Times New Roman" w:cs="Times New Roman" w:eastAsia="Times New Roman" w:hAnsi="Times New Roman"/>
          <w:sz w:val="22"/>
          <w:szCs w:val="22"/>
          <w:color w:val="auto"/>
        </w:rPr>
        <w:t>as a Committed Investor, a Managing Agent and an Administrator for the PNC Investor Group and the Agent</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MICHAEL FERRAGONIO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8783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Michael Ferragonio</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Commitment: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S-4</w:t>
      </w:r>
      <w:r>
        <w:rPr>
          <w:sz w:val="20"/>
          <w:szCs w:val="20"/>
          <w:color w:val="auto"/>
        </w:rPr>
        <w:tab/>
      </w:r>
      <w:r>
        <w:rPr>
          <w:rFonts w:ascii="Times New Roman" w:cs="Times New Roman" w:eastAsia="Times New Roman" w:hAnsi="Times New Roman"/>
          <w:sz w:val="17"/>
          <w:szCs w:val="17"/>
          <w:i w:val="1"/>
          <w:iCs w:val="1"/>
          <w:color w:val="auto"/>
        </w:rPr>
        <w:t>Transfer and Administration Agreement</w:t>
      </w:r>
    </w:p>
    <w:p>
      <w:pPr>
        <w:sectPr>
          <w:pgSz w:w="11900" w:h="16838" w:orient="portrait"/>
          <w:cols w:equalWidth="0" w:num="1">
            <w:col w:w="10540"/>
          </w:cols>
          <w:pgMar w:left="480" w:top="1418" w:right="879" w:bottom="1440" w:gutter="0" w:footer="0" w:header="0"/>
        </w:sectPr>
      </w:pPr>
    </w:p>
    <w:bookmarkStart w:id="159" w:name="page160"/>
    <w:bookmarkEnd w:id="159"/>
    <w:p>
      <w:pPr>
        <w:spacing w:after="0" w:line="2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WELLS FARGO BANK, N.A.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740"/>
        <w:spacing w:after="0" w:line="248" w:lineRule="auto"/>
        <w:rPr>
          <w:sz w:val="20"/>
          <w:szCs w:val="20"/>
          <w:color w:val="auto"/>
        </w:rPr>
      </w:pPr>
      <w:r>
        <w:rPr>
          <w:rFonts w:ascii="Times New Roman" w:cs="Times New Roman" w:eastAsia="Times New Roman" w:hAnsi="Times New Roman"/>
          <w:sz w:val="22"/>
          <w:szCs w:val="22"/>
          <w:color w:val="auto"/>
        </w:rPr>
        <w:t>as a Committed Investor, a Managing Agent and an Administrator for the Wells Investor Group</w:t>
      </w:r>
    </w:p>
    <w:p>
      <w:pPr>
        <w:spacing w:after="0" w:line="23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LUKA ILIC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-13970</wp:posOffset>
            </wp:positionV>
            <wp:extent cx="1017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spacing w:after="0" w:line="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Luka Ilic</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Commitment: $100,000,000</w:t>
      </w:r>
    </w:p>
    <w:p>
      <w:pPr>
        <w:spacing w:after="0" w:line="24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S-5</w:t>
      </w:r>
      <w:r>
        <w:rPr>
          <w:sz w:val="20"/>
          <w:szCs w:val="20"/>
          <w:color w:val="auto"/>
        </w:rPr>
        <w:tab/>
      </w:r>
      <w:r>
        <w:rPr>
          <w:rFonts w:ascii="Times New Roman" w:cs="Times New Roman" w:eastAsia="Times New Roman" w:hAnsi="Times New Roman"/>
          <w:sz w:val="17"/>
          <w:szCs w:val="17"/>
          <w:i w:val="1"/>
          <w:iCs w:val="1"/>
          <w:color w:val="auto"/>
        </w:rPr>
        <w:t>Transfer and Administration Agreement</w:t>
      </w:r>
    </w:p>
    <w:p>
      <w:pPr>
        <w:sectPr>
          <w:pgSz w:w="11900" w:h="16838" w:orient="portrait"/>
          <w:cols w:equalWidth="0" w:num="1">
            <w:col w:w="10620"/>
          </w:cols>
          <w:pgMar w:left="480" w:top="1440" w:right="79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4.1(d)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PERFECTION REPRESENTATIONS, WARRANTIES AND COVENANTS</w:t>
      </w:r>
    </w:p>
    <w:p>
      <w:pPr>
        <w:spacing w:after="0" w:line="22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 addition to the representations, warranties and covenants contained in this Agreement, the SPV hereby represents, warrants, and covenants as follows:</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u w:val="single" w:color="auto"/>
          <w:color w:val="auto"/>
        </w:rPr>
        <w:t>General</w:t>
      </w:r>
    </w:p>
    <w:p>
      <w:pPr>
        <w:spacing w:after="0" w:line="220" w:lineRule="exact"/>
        <w:rPr>
          <w:sz w:val="20"/>
          <w:szCs w:val="20"/>
          <w:color w:val="auto"/>
        </w:rPr>
      </w:pPr>
    </w:p>
    <w:p>
      <w:pPr>
        <w:jc w:val="both"/>
        <w:ind w:left="660" w:firstLine="486"/>
        <w:spacing w:after="0" w:line="256" w:lineRule="auto"/>
        <w:rPr>
          <w:sz w:val="20"/>
          <w:szCs w:val="20"/>
          <w:color w:val="auto"/>
        </w:rPr>
      </w:pPr>
      <w:r>
        <w:rPr>
          <w:rFonts w:ascii="Times New Roman" w:cs="Times New Roman" w:eastAsia="Times New Roman" w:hAnsi="Times New Roman"/>
          <w:sz w:val="22"/>
          <w:szCs w:val="22"/>
          <w:color w:val="auto"/>
        </w:rPr>
        <w:t>1.The Fourth Amended and Restated Transfer and Administration Agreement creates a valid and continuing security interest (as defined in UCC Section 9-102) in the Affected Assets in favor of the Agent (for the benefit of the Secured Parties), which security interest is prior to all other Adverse Claims, and is enforceable as such as against creditors of and purchasers from the SPV.</w:t>
      </w:r>
    </w:p>
    <w:p>
      <w:pPr>
        <w:spacing w:after="0" w:line="176" w:lineRule="exact"/>
        <w:rPr>
          <w:sz w:val="20"/>
          <w:szCs w:val="20"/>
          <w:color w:val="auto"/>
        </w:rPr>
      </w:pPr>
    </w:p>
    <w:p>
      <w:pPr>
        <w:jc w:val="both"/>
        <w:ind w:left="660" w:firstLine="486"/>
        <w:spacing w:after="0" w:line="271" w:lineRule="auto"/>
        <w:rPr>
          <w:sz w:val="20"/>
          <w:szCs w:val="20"/>
          <w:color w:val="auto"/>
        </w:rPr>
      </w:pPr>
      <w:r>
        <w:rPr>
          <w:rFonts w:ascii="Times New Roman" w:cs="Times New Roman" w:eastAsia="Times New Roman" w:hAnsi="Times New Roman"/>
          <w:sz w:val="22"/>
          <w:szCs w:val="22"/>
          <w:color w:val="auto"/>
        </w:rPr>
        <w:t>2.The Eligible Receivables constitute “accounts” within the meaning of UCC Section 9-102. The rights of the SPV under the First Tier Agreement constitute “general intangibles” within the meaning of UCC Section 9-102.</w:t>
      </w:r>
    </w:p>
    <w:p>
      <w:pPr>
        <w:spacing w:after="0" w:line="158" w:lineRule="exact"/>
        <w:rPr>
          <w:sz w:val="20"/>
          <w:szCs w:val="20"/>
          <w:color w:val="auto"/>
        </w:rPr>
      </w:pPr>
    </w:p>
    <w:p>
      <w:pPr>
        <w:jc w:val="both"/>
        <w:ind w:left="660" w:right="20" w:firstLine="486"/>
        <w:spacing w:after="0" w:line="271" w:lineRule="auto"/>
        <w:rPr>
          <w:sz w:val="20"/>
          <w:szCs w:val="20"/>
          <w:color w:val="auto"/>
        </w:rPr>
      </w:pPr>
      <w:r>
        <w:rPr>
          <w:rFonts w:ascii="Times New Roman" w:cs="Times New Roman" w:eastAsia="Times New Roman" w:hAnsi="Times New Roman"/>
          <w:sz w:val="22"/>
          <w:szCs w:val="22"/>
          <w:color w:val="auto"/>
        </w:rPr>
        <w:t>3.The SPV has taken all steps necessary to perfect its security interest against the Obligor in the Related Security (if any) securing the Eligible Receivables.</w:t>
      </w:r>
    </w:p>
    <w:p>
      <w:pPr>
        <w:spacing w:after="0" w:line="1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4.The Collection Account constitutes a deposit account.</w:t>
      </w:r>
    </w:p>
    <w:p>
      <w:pPr>
        <w:spacing w:after="0" w:line="23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u w:val="single" w:color="auto"/>
          <w:color w:val="auto"/>
        </w:rPr>
        <w:t>Creation</w:t>
      </w:r>
    </w:p>
    <w:p>
      <w:pPr>
        <w:spacing w:after="0" w:line="220" w:lineRule="exact"/>
        <w:rPr>
          <w:sz w:val="20"/>
          <w:szCs w:val="20"/>
          <w:color w:val="auto"/>
        </w:rPr>
      </w:pPr>
    </w:p>
    <w:p>
      <w:pPr>
        <w:jc w:val="both"/>
        <w:ind w:left="660" w:firstLine="486"/>
        <w:spacing w:after="0" w:line="249" w:lineRule="auto"/>
        <w:rPr>
          <w:sz w:val="20"/>
          <w:szCs w:val="20"/>
          <w:color w:val="auto"/>
        </w:rPr>
      </w:pPr>
      <w:r>
        <w:rPr>
          <w:rFonts w:ascii="Times New Roman" w:cs="Times New Roman" w:eastAsia="Times New Roman" w:hAnsi="Times New Roman"/>
          <w:sz w:val="22"/>
          <w:szCs w:val="22"/>
          <w:color w:val="auto"/>
        </w:rPr>
        <w:t>5.Immediately prior to (or concurrent with) the transfer and assignment herein contemplated, the SPV had good title to each Eligible Receivable and its rights under the First Tier Agreement, and was the sole owner thereof, free and clear of all Adverse Claims and, upon the transfer thereof, the Agent shall have good title to each such Receivable, and will (i) be the sole owner thereof, free and clear of all Liens, or (ii) have a first priority security interest in such Eligible Receivables, and the transfer or security interest will be perfected under the UCC. Immediately prior to the sale, assignment, and transfer thereof, each Eligible Receivable was secured by a valid and enforceable perfected security interest in the related Related Security (if any) in favor of the SPV as secured party, and such security interest is prior to all other Adverse Claims in such Related Security. The SPV has not taken any action to convey any right to any Person that would result in such Person having a right to payments due under the Receivables (other than with respect to servicing of Receivables by the Servicer or Sub-Servicer as permitted by this Agreement).</w:t>
      </w:r>
    </w:p>
    <w:p>
      <w:pPr>
        <w:spacing w:after="0" w:line="18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u w:val="single" w:color="auto"/>
          <w:color w:val="auto"/>
        </w:rPr>
        <w:t>Perfection</w:t>
      </w:r>
    </w:p>
    <w:p>
      <w:pPr>
        <w:spacing w:after="0" w:line="220" w:lineRule="exact"/>
        <w:rPr>
          <w:sz w:val="20"/>
          <w:szCs w:val="20"/>
          <w:color w:val="auto"/>
        </w:rPr>
      </w:pPr>
    </w:p>
    <w:p>
      <w:pPr>
        <w:jc w:val="both"/>
        <w:ind w:left="660" w:right="20" w:firstLine="486"/>
        <w:spacing w:after="0" w:line="271" w:lineRule="auto"/>
        <w:rPr>
          <w:sz w:val="20"/>
          <w:szCs w:val="20"/>
          <w:color w:val="auto"/>
        </w:rPr>
      </w:pPr>
      <w:r>
        <w:rPr>
          <w:rFonts w:ascii="Times New Roman" w:cs="Times New Roman" w:eastAsia="Times New Roman" w:hAnsi="Times New Roman"/>
          <w:sz w:val="22"/>
          <w:szCs w:val="22"/>
          <w:color w:val="auto"/>
        </w:rPr>
        <w:t>6.At the request of the Agent, the SPV has caused or will have caused, within ten days after the effective date of the Fourth Amended and Restated Transfer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Schedule 4.1(d)-1</w:t>
      </w:r>
    </w:p>
    <w:p>
      <w:pPr>
        <w:sectPr>
          <w:pgSz w:w="11900" w:h="16838" w:orient="portrait"/>
          <w:cols w:equalWidth="0" w:num="1">
            <w:col w:w="11240"/>
          </w:cols>
          <w:pgMar w:left="320" w:top="1418" w:right="339" w:bottom="1440" w:gutter="0" w:footer="0" w:header="0"/>
        </w:sectPr>
      </w:pPr>
    </w:p>
    <w:bookmarkStart w:id="161" w:name="page162"/>
    <w:bookmarkEnd w:id="161"/>
    <w:p>
      <w:pPr>
        <w:jc w:val="both"/>
        <w:ind w:left="500"/>
        <w:spacing w:after="0" w:line="257" w:lineRule="auto"/>
        <w:rPr>
          <w:sz w:val="20"/>
          <w:szCs w:val="20"/>
          <w:color w:val="auto"/>
        </w:rPr>
      </w:pPr>
      <w:r>
        <w:rPr>
          <w:rFonts w:ascii="Times New Roman" w:cs="Times New Roman" w:eastAsia="Times New Roman" w:hAnsi="Times New Roman"/>
          <w:sz w:val="22"/>
          <w:szCs w:val="22"/>
          <w:color w:val="auto"/>
        </w:rPr>
        <w:t>Administration Agreement, the filing of all appropriate financing statements in the proper filing office in the appropriate jurisdictions under applicable law in order to perfect the sale of, or security interest in, the Receivables and the rights of the SPV under the First Tier Agreement from SPV to the Agent.</w:t>
      </w:r>
    </w:p>
    <w:p>
      <w:pPr>
        <w:spacing w:after="0" w:line="186" w:lineRule="exact"/>
        <w:rPr>
          <w:sz w:val="20"/>
          <w:szCs w:val="20"/>
          <w:color w:val="auto"/>
        </w:rPr>
      </w:pPr>
    </w:p>
    <w:p>
      <w:pPr>
        <w:jc w:val="center"/>
        <w:ind w:left="820" w:right="640"/>
        <w:spacing w:after="0" w:line="448" w:lineRule="auto"/>
        <w:rPr>
          <w:sz w:val="20"/>
          <w:szCs w:val="20"/>
          <w:color w:val="auto"/>
        </w:rPr>
      </w:pPr>
      <w:r>
        <w:rPr>
          <w:rFonts w:ascii="Times New Roman" w:cs="Times New Roman" w:eastAsia="Times New Roman" w:hAnsi="Times New Roman"/>
          <w:sz w:val="22"/>
          <w:szCs w:val="22"/>
          <w:color w:val="auto"/>
        </w:rPr>
        <w:t xml:space="preserve">7.With respect to the Collection Account, the SPV has delivered to the Agent a Blocked Account Agreement. </w:t>
      </w:r>
      <w:r>
        <w:rPr>
          <w:rFonts w:ascii="Times New Roman" w:cs="Times New Roman" w:eastAsia="Times New Roman" w:hAnsi="Times New Roman"/>
          <w:sz w:val="22"/>
          <w:szCs w:val="22"/>
          <w:u w:val="single" w:color="auto"/>
          <w:color w:val="auto"/>
        </w:rPr>
        <w:t>Priority</w:t>
      </w:r>
    </w:p>
    <w:p>
      <w:pPr>
        <w:spacing w:after="0" w:line="1" w:lineRule="exact"/>
        <w:rPr>
          <w:sz w:val="20"/>
          <w:szCs w:val="20"/>
          <w:color w:val="auto"/>
        </w:rPr>
      </w:pPr>
    </w:p>
    <w:p>
      <w:pPr>
        <w:jc w:val="both"/>
        <w:ind w:left="500" w:firstLine="486"/>
        <w:spacing w:after="0" w:line="250" w:lineRule="auto"/>
        <w:rPr>
          <w:sz w:val="20"/>
          <w:szCs w:val="20"/>
          <w:color w:val="auto"/>
        </w:rPr>
      </w:pPr>
      <w:r>
        <w:rPr>
          <w:rFonts w:ascii="Times New Roman" w:cs="Times New Roman" w:eastAsia="Times New Roman" w:hAnsi="Times New Roman"/>
          <w:sz w:val="22"/>
          <w:szCs w:val="22"/>
          <w:color w:val="auto"/>
        </w:rPr>
        <w:t>8.Other than the transfer of the Receivables under the First Tier Agreement and to the Agent under the Fourth Amended and Restated Transfer and Administration Agreement, none of the Originators nor the SPV has pledged, assigned, sold, granted a security interest in, or otherwise conveyed any of the Receivables or the other Affected Assets. None of the Originators nor the SPV has authorized the filing of, or is aware of, any financing statements against the SPV that include a description of collateral covering the Receivables or the other Affected Assets other than any financing statement relating to the transfers under the First Tier Agreement and to the Agent under the Fourth Amended and Restated Transfer and Administration Agreement or that has been terminated.</w:t>
      </w:r>
    </w:p>
    <w:p>
      <w:pPr>
        <w:spacing w:after="0" w:line="180" w:lineRule="exact"/>
        <w:rPr>
          <w:sz w:val="20"/>
          <w:szCs w:val="20"/>
          <w:color w:val="auto"/>
        </w:rPr>
      </w:pPr>
    </w:p>
    <w:p>
      <w:pPr>
        <w:jc w:val="both"/>
        <w:ind w:left="500" w:firstLine="486"/>
        <w:spacing w:after="0" w:line="271" w:lineRule="auto"/>
        <w:rPr>
          <w:sz w:val="20"/>
          <w:szCs w:val="20"/>
          <w:color w:val="auto"/>
        </w:rPr>
      </w:pPr>
      <w:r>
        <w:rPr>
          <w:rFonts w:ascii="Times New Roman" w:cs="Times New Roman" w:eastAsia="Times New Roman" w:hAnsi="Times New Roman"/>
          <w:sz w:val="22"/>
          <w:szCs w:val="22"/>
          <w:color w:val="auto"/>
        </w:rPr>
        <w:t>9.None of the Originators nor the SPV has any knowledge of any judgment, ERISA or tax lien filings against it which would reasonably be expected to have a Material Adverse Effect.</w:t>
      </w:r>
    </w:p>
    <w:p>
      <w:pPr>
        <w:spacing w:after="0" w:line="171" w:lineRule="exact"/>
        <w:rPr>
          <w:sz w:val="20"/>
          <w:szCs w:val="20"/>
          <w:color w:val="auto"/>
        </w:rPr>
      </w:pPr>
    </w:p>
    <w:p>
      <w:pPr>
        <w:ind w:left="500" w:firstLine="482"/>
        <w:spacing w:after="0" w:line="295" w:lineRule="auto"/>
        <w:tabs>
          <w:tab w:leader="none" w:pos="1796"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Collection Account is not in the name of any person other than the Agent. The SPV has not consented to the Blocked Account Bank of the Collection Account to comply with instructions of any person other than the Agent.</w:t>
      </w:r>
    </w:p>
    <w:p>
      <w:pPr>
        <w:spacing w:after="0" w:line="135" w:lineRule="exact"/>
        <w:rPr>
          <w:rFonts w:ascii="Times New Roman" w:cs="Times New Roman" w:eastAsia="Times New Roman" w:hAnsi="Times New Roman"/>
          <w:sz w:val="21"/>
          <w:szCs w:val="21"/>
          <w:color w:val="auto"/>
        </w:rPr>
      </w:pPr>
    </w:p>
    <w:p>
      <w:pPr>
        <w:jc w:val="both"/>
        <w:ind w:left="500" w:firstLine="482"/>
        <w:spacing w:after="0" w:line="257" w:lineRule="auto"/>
        <w:tabs>
          <w:tab w:leader="none" w:pos="178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or any other Transaction Document, the perfection representations contained in this Schedule shall be continuing, and remain in full force and effect until such time as all obligations under this Agreement have been finally and fully paid and performed.</w:t>
      </w:r>
    </w:p>
    <w:p>
      <w:pPr>
        <w:spacing w:after="0" w:line="186" w:lineRule="exact"/>
        <w:rPr>
          <w:rFonts w:ascii="Times New Roman" w:cs="Times New Roman" w:eastAsia="Times New Roman" w:hAnsi="Times New Roman"/>
          <w:sz w:val="22"/>
          <w:szCs w:val="22"/>
          <w:color w:val="auto"/>
        </w:rPr>
      </w:pPr>
    </w:p>
    <w:p>
      <w:pPr>
        <w:ind w:left="1800" w:hanging="818"/>
        <w:spacing w:after="0"/>
        <w:tabs>
          <w:tab w:leader="none" w:pos="18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left="500" w:firstLine="482"/>
        <w:spacing w:after="0" w:line="249" w:lineRule="auto"/>
        <w:tabs>
          <w:tab w:leader="none" w:pos="179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evidence the interests of the Agent under the Fourth Amended and Restated Transfer and Administration Agreement, the Servicer shall, from time to time, take such action, or execute and deliver such instruments (other than filing financing statements) as may be necessary (including such actions as are requested in writing by any Managing Agent) to maintain the Agent’s ownership interest and to maintain and to perfect, as a first-priority interest, the Agent’s security interest in the Receivables and the other Affected Assets. At the request of the Agent, the Servicer shall, from time to time and within the time limits established by law, prepare and present to the Agent for the Agent’s authorization and approval all financing statements, amendments, continuations or other filings necessary to continue, maintain and perfect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4.1(d)-2</w:t>
      </w:r>
    </w:p>
    <w:p>
      <w:pPr>
        <w:sectPr>
          <w:pgSz w:w="11900" w:h="16838" w:orient="portrait"/>
          <w:cols w:equalWidth="0" w:num="1">
            <w:col w:w="11080"/>
          </w:cols>
          <w:pgMar w:left="480" w:top="1422" w:right="339" w:bottom="1440" w:gutter="0" w:footer="0" w:header="0"/>
        </w:sectPr>
      </w:pPr>
    </w:p>
    <w:bookmarkStart w:id="162" w:name="page163"/>
    <w:bookmarkEnd w:id="162"/>
    <w:p>
      <w:pPr>
        <w:jc w:val="both"/>
        <w:ind w:left="500"/>
        <w:spacing w:after="0" w:line="253" w:lineRule="auto"/>
        <w:rPr>
          <w:sz w:val="20"/>
          <w:szCs w:val="20"/>
          <w:color w:val="auto"/>
        </w:rPr>
      </w:pPr>
      <w:r>
        <w:rPr>
          <w:rFonts w:ascii="Times New Roman" w:cs="Times New Roman" w:eastAsia="Times New Roman" w:hAnsi="Times New Roman"/>
          <w:sz w:val="22"/>
          <w:szCs w:val="22"/>
          <w:color w:val="auto"/>
        </w:rPr>
        <w:t>a first-priority interest the Agent’s interest in the Receivables and other Affected Assets. The Agent’s approval of such filings shall authorize the Servicer to file such financing statements under the UCC. Notwithstanding anything else in the Transaction Documents to the contrary, the Servicer shall not have any authority to file a termination, partial termination, release, partial release, or any amendment that deletes the name of a debtor or excludes collateral of any such financing statements, without the prior written consent of each Managing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4.1(d)-3</w:t>
      </w:r>
    </w:p>
    <w:p>
      <w:pPr>
        <w:sectPr>
          <w:pgSz w:w="11900" w:h="16838" w:orient="portrait"/>
          <w:cols w:equalWidth="0" w:num="1">
            <w:col w:w="11080"/>
          </w:cols>
          <w:pgMar w:left="480" w:top="1422" w:right="339" w:bottom="1440" w:gutter="0" w:footer="0" w:header="0"/>
        </w:sectPr>
      </w:pPr>
    </w:p>
    <w:bookmarkStart w:id="163" w:name="page164"/>
    <w:bookmarkEnd w:id="163"/>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Assignment and Assumption Agreement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Reference is made to the Fourth Amended and Restated Transfer and Administration Agreement dated as of May 11, 2026 as it may be amended or otherwise modified from time to time (as so amended or modified,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Greif Receivables Funding LLC, as transferor (in such capacity, the “</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 the persons from time to time party thereto as “Originators” (each an “</w:t>
      </w:r>
      <w:r>
        <w:rPr>
          <w:rFonts w:ascii="Times New Roman" w:cs="Times New Roman" w:eastAsia="Times New Roman" w:hAnsi="Times New Roman"/>
          <w:sz w:val="22"/>
          <w:szCs w:val="22"/>
          <w:u w:val="single" w:color="auto"/>
          <w:color w:val="auto"/>
        </w:rPr>
        <w:t>Originator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Originators</w:t>
      </w:r>
      <w:r>
        <w:rPr>
          <w:rFonts w:ascii="Times New Roman" w:cs="Times New Roman" w:eastAsia="Times New Roman" w:hAnsi="Times New Roman"/>
          <w:sz w:val="22"/>
          <w:szCs w:val="22"/>
          <w:color w:val="auto"/>
        </w:rPr>
        <w:t>”), Greif, Packaging LLC, as servicer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PNC Bank, National Association, as agent, and each of the Conduit Investors, Committed Investors, Managing Agents and Administrators from time to time parties thereto. Terms defined in the Agreement are used herein with the same meaning.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 (the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[_____________________] (the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agree as follows:</w:t>
      </w:r>
    </w:p>
    <w:p>
      <w:pPr>
        <w:spacing w:after="0" w:line="220" w:lineRule="exact"/>
        <w:rPr>
          <w:sz w:val="20"/>
          <w:szCs w:val="20"/>
          <w:color w:val="auto"/>
        </w:rPr>
      </w:pPr>
    </w:p>
    <w:p>
      <w:pPr>
        <w:jc w:val="both"/>
        <w:ind w:firstLine="656"/>
        <w:spacing w:after="0" w:line="251" w:lineRule="auto"/>
        <w:tabs>
          <w:tab w:leader="none" w:pos="129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hereby sells and assigns to the Assignee, without recourse and without representation and warranty, and the Assignee hereby purchases and assumes from the Assignor, an interest in and to all of the Assignor’s rights and obligations under the Agreement and the other Transaction Documents. Such interest expressed as a percentage of all rights and obligations of the Committed Investors, shall be equal to the percentage equivalent of a fraction the numerator of which is $[________] and the denominator of which is the Facility Limit. After giving effect to such sale and assignment, the Assignee’s Commitment will be as set forth on the signature page hereto.</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the payment of $[___________], being [___]% of the existing Net Investment, and of $[___________], being [___]% of the aggregate unpaid accrued Yield, receipt of which payment is hereby acknowledged, the Assignor hereby assigns to the Agent for the account of the Assignee, and the Assignee hereby purchases from the Assignor, a [___]% interest in and to all of the Assignor’s right, title and interest in and to the Net Investment purchased by the undersigned on [________________], 20[__] under the Agreement.] </w:t>
      </w:r>
      <w:r>
        <w:rPr>
          <w:rFonts w:ascii="Times New Roman" w:cs="Times New Roman" w:eastAsia="Times New Roman" w:hAnsi="Times New Roman"/>
          <w:sz w:val="22"/>
          <w:szCs w:val="22"/>
          <w:i w:val="1"/>
          <w:iCs w:val="1"/>
          <w:color w:val="auto"/>
        </w:rPr>
        <w:t>[Include if an existing Net Investment is being assigned.]</w:t>
      </w:r>
    </w:p>
    <w:p>
      <w:pPr>
        <w:spacing w:after="0" w:line="178"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Agreement, any other Transaction Document or any other instrument or document furnished pursuant thereto or the execution, legality, validity, enforceability, genuineness, sufficiency or value of the Agreement or the Receivables, any other Transaction Document or any other instrument or document furnished pursuant thereto; and (iii) makes no representation or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A-1</w:t>
      </w:r>
    </w:p>
    <w:p>
      <w:pPr>
        <w:sectPr>
          <w:pgSz w:w="11900" w:h="16838" w:orient="portrait"/>
          <w:cols w:equalWidth="0" w:num="1">
            <w:col w:w="11240"/>
          </w:cols>
          <w:pgMar w:left="320" w:top="1440" w:right="339" w:bottom="1440" w:gutter="0" w:footer="0" w:header="0"/>
        </w:sectPr>
      </w:pPr>
    </w:p>
    <w:bookmarkStart w:id="164" w:name="page165"/>
    <w:bookmarkEnd w:id="164"/>
    <w:p>
      <w:pPr>
        <w:jc w:val="both"/>
        <w:spacing w:after="0" w:line="257" w:lineRule="auto"/>
        <w:rPr>
          <w:sz w:val="20"/>
          <w:szCs w:val="20"/>
          <w:color w:val="auto"/>
        </w:rPr>
      </w:pPr>
      <w:r>
        <w:rPr>
          <w:rFonts w:ascii="Times New Roman" w:cs="Times New Roman" w:eastAsia="Times New Roman" w:hAnsi="Times New Roman"/>
          <w:sz w:val="22"/>
          <w:szCs w:val="22"/>
          <w:color w:val="auto"/>
        </w:rPr>
        <w:t>and assumes no responsibility with respect to the financial condition of any of the SPV or the Servicer or the Originators or the performance or observance by any of the SPV or the Servicer or the Originators of any of its obligations under the Agreement, any other Transaction Document, or any instrument or document furnished pursuant thereto.</w:t>
      </w:r>
    </w:p>
    <w:p>
      <w:pPr>
        <w:spacing w:after="0" w:line="186" w:lineRule="exact"/>
        <w:rPr>
          <w:sz w:val="20"/>
          <w:szCs w:val="20"/>
          <w:color w:val="auto"/>
        </w:rPr>
      </w:pPr>
    </w:p>
    <w:p>
      <w:pPr>
        <w:jc w:val="both"/>
        <w:ind w:firstLine="656"/>
        <w:spacing w:after="0" w:line="247" w:lineRule="auto"/>
        <w:tabs>
          <w:tab w:leader="none" w:pos="129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 confirms that it has received a copy of the Agreement and the First Tier Agreement together with copies of the financial statements referred to in Section 6.1(a) of the Agreement, to the extent delivered through the date of this Assignment and Assumption Agreement (the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and such other documents and information as it has deemed appropriate to make its own credit analysis and decision to enter into this Assignment; (ii) agrees that it will, independently and without reliance upon the Agent, any of its Affiliates, the Assignor or any other Investor and based on such documents and information as it shall deem appropriate at the time, continue to make its own credit decisions in taking or not taking action under the Agreement and any other Transaction Document; (iii) appoints and authorizes the Agent and its Managing Agent to take such action as agent on its behalf and to exercise such powers and discretion under the Agreement and the other Transaction Documents as are delegated thereto by the terms thereof, together with such powers and discretion as are reasonably incidental thereto; (iv) agrees that it will perform in accordance with their terms all of the obligations which by the terms of the Agreement are required to be performed by it as a Committed Investor; and (v) specifies as its address for notices and its account for payments the office and account set forth beneath its name on the signature pages hereof; and (vi) attaches an Internal Revenue Service form W-9 evidencing their status as a U.S. Person.</w:t>
      </w:r>
    </w:p>
    <w:p>
      <w:pPr>
        <w:spacing w:after="0" w:line="19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for this Assignment shall be the later of (i) the date on which the Agent receives this Assignment executed by the parties hereto and receives the consent of [the SPV] and Administrator, on behalf of the Conduit Investor, and (ii) the date of this Assignment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Following the execution of this Assignment and the consent of [the SPV and] the Administrator, on behalf of the Conduit Investor, this Assignment will be delivered to the Agent for acceptance and recording.</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and recording, as of the Effective Date, (i) the Assignee shall be a party to the Agreement and, to the extent provided in this Assignment, have the rights and obligations of a Committed Investor thereunder and (ii) the Assignor shall, to the extent provided in this Assignment, relinquish its rights and be released from its obligations under the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such acceptance and recording, from and after the Effective Date, the Agent and the Managing Agent shall make all payments under the Agreement in respect of the interest assigned hereby (including all payments in respect of such interest in Net Investment, discount and fees) to the Assignee. The Assignor and Assignee shall make all appropriate adjustments in payments under the Agreement for periods prior to the Effective Date directly between themselves.</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Assignee shall not be required to fund hereunder an aggregate amount at any time outstanding in excess of $[___________],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aggregate outstanding amount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A-2</w:t>
      </w:r>
    </w:p>
    <w:p>
      <w:pPr>
        <w:sectPr>
          <w:pgSz w:w="11900" w:h="16838" w:orient="portrait"/>
          <w:cols w:equalWidth="0" w:num="1">
            <w:col w:w="11240"/>
          </w:cols>
          <w:pgMar w:left="320" w:top="1422"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interest funded by the Assignee in its capacity as a participant under Program Support Agreement.</w:t>
      </w:r>
    </w:p>
    <w:p>
      <w:pPr>
        <w:spacing w:after="0" w:line="220" w:lineRule="exact"/>
        <w:rPr>
          <w:sz w:val="20"/>
          <w:szCs w:val="20"/>
          <w:color w:val="auto"/>
        </w:rPr>
      </w:pPr>
    </w:p>
    <w:p>
      <w:pPr>
        <w:jc w:val="both"/>
        <w:ind w:firstLine="656"/>
        <w:spacing w:after="0" w:line="263" w:lineRule="auto"/>
        <w:tabs>
          <w:tab w:leader="none" w:pos="129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Assignor agrees to pay the Assignee its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of fees in an amount equal to the product of (a) [_____] </w:t>
      </w:r>
      <w:r>
        <w:rPr>
          <w:rFonts w:ascii="Times New Roman" w:cs="Times New Roman" w:eastAsia="Times New Roman" w:hAnsi="Times New Roman"/>
          <w:sz w:val="22"/>
          <w:szCs w:val="22"/>
          <w:u w:val="single" w:color="auto"/>
          <w:color w:val="auto"/>
        </w:rPr>
        <w:t>per annum</w:t>
      </w:r>
      <w:r>
        <w:rPr>
          <w:rFonts w:ascii="Times New Roman" w:cs="Times New Roman" w:eastAsia="Times New Roman" w:hAnsi="Times New Roman"/>
          <w:sz w:val="22"/>
          <w:szCs w:val="22"/>
          <w:color w:val="auto"/>
        </w:rPr>
        <w:t xml:space="preserve"> and (b) the Commitment during the period after the Effective Date for which such fees are owing and paid by the SPV pursuant to the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 (WITHOUT REFERENCE TO THE CONFLICTS OF LAW PRINCIPLES THEREOF OTHER THAN SECTIONS 5-1401 AND 5-1402 OF THE NEW YORK GENERAL OBLIGATIONS LAW).</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8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any number of counterparts and by different parties hereto in separate counterparts, each of which when so executed shall be deemed to be an original and all of which when taken together shall constitute one and the same agreement. Delivery by facsimile of an executed signature page of this agreement shall be effective as delivery of an executed counterpart hereof.</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on the parties hereto and their respective successors and assigns.</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be a [Committed Investor/Conduit Investor] in the [________] Investor Group.</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[Assignee/other name] shall be the Managing Agent and Administrator for the [_______] Investor Group. [If other than Assignee, such person must sign this assignment agreement and agree to be bound by the terms of the Transfer and Administration Agreement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A-3</w:t>
      </w:r>
    </w:p>
    <w:p>
      <w:pPr>
        <w:sectPr>
          <w:pgSz w:w="11900" w:h="16838" w:orient="portrait"/>
          <w:cols w:equalWidth="0" w:num="1">
            <w:col w:w="11240"/>
          </w:cols>
          <w:pgMar w:left="320" w:top="1422" w:right="339" w:bottom="1440" w:gutter="0" w:footer="0" w:header="0"/>
        </w:sectPr>
      </w:pPr>
    </w:p>
    <w:bookmarkStart w:id="166" w:name="page167"/>
    <w:bookmarkEnd w:id="166"/>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Assignment and Assumption Agreement to be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their respective officers thereunto duly authorized as of the date first above written.</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[ASSIGNOR]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-29210</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[ASSIGNEE]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685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-21590</wp:posOffset>
            </wp:positionV>
            <wp:extent cx="685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685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A-4</w:t>
      </w:r>
    </w:p>
    <w:p>
      <w:pPr>
        <w:sectPr>
          <w:pgSz w:w="11900" w:h="16838" w:orient="portrait"/>
          <w:cols w:equalWidth="0" w:num="1">
            <w:col w:w="11240"/>
          </w:cols>
          <w:pgMar w:left="320" w:top="1418" w:right="339" w:bottom="1440" w:gutter="0" w:footer="0" w:header="0"/>
        </w:sectPr>
      </w:pPr>
    </w:p>
    <w:bookmarkStart w:id="167" w:name="page168"/>
    <w:bookmarkEnd w:id="167"/>
    <w:p>
      <w:pPr>
        <w:ind w:left="3900"/>
        <w:spacing w:after="0"/>
        <w:rPr>
          <w:sz w:val="20"/>
          <w:szCs w:val="20"/>
          <w:color w:val="auto"/>
        </w:rPr>
      </w:pPr>
      <w:r>
        <w:rPr>
          <w:rFonts w:ascii="Times New Roman" w:cs="Times New Roman" w:eastAsia="Times New Roman" w:hAnsi="Times New Roman"/>
          <w:sz w:val="21"/>
          <w:szCs w:val="21"/>
          <w:color w:val="auto"/>
        </w:rPr>
        <w:t>Address for notices and Account for payments:</w:t>
      </w:r>
    </w:p>
    <w:p>
      <w:pPr>
        <w:sectPr>
          <w:pgSz w:w="11900" w:h="16838" w:orient="portrait"/>
          <w:cols w:equalWidth="0" w:num="1">
            <w:col w:w="10139"/>
          </w:cols>
          <w:pgMar w:left="320" w:top="1422" w:right="1440" w:bottom="1440" w:gutter="0" w:footer="0" w:header="0"/>
        </w:sectPr>
      </w:pP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For Credit Matters: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Administrative Matters:</w:t>
      </w:r>
    </w:p>
    <w:p>
      <w:pPr>
        <w:spacing w:after="0" w:line="200" w:lineRule="exact"/>
        <w:rPr>
          <w:sz w:val="20"/>
          <w:szCs w:val="20"/>
          <w:color w:val="auto"/>
        </w:rPr>
      </w:pPr>
    </w:p>
    <w:p>
      <w:pPr>
        <w:sectPr>
          <w:pgSz w:w="11900" w:h="16838" w:orient="portrait"/>
          <w:cols w:equalWidth="0" w:num="2">
            <w:col w:w="5000" w:space="720"/>
            <w:col w:w="4419"/>
          </w:cols>
          <w:pgMar w:left="320" w:top="1422" w:right="1440" w:bottom="1440" w:gutter="0" w:footer="0" w:header="0"/>
          <w:type w:val="continuous"/>
        </w:sect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Attention:</w:t>
      </w:r>
    </w:p>
    <w:p>
      <w:pPr>
        <w:spacing w:after="0" w:line="17"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[(___) ___-____]</w:t>
      </w:r>
    </w:p>
    <w:p>
      <w:pPr>
        <w:spacing w:after="0" w:line="17" w:lineRule="exact"/>
        <w:rPr>
          <w:sz w:val="20"/>
          <w:szCs w:val="20"/>
          <w:color w:val="auto"/>
        </w:rPr>
      </w:pPr>
    </w:p>
    <w:p>
      <w:pPr>
        <w:ind w:left="120"/>
        <w:spacing w:after="0"/>
        <w:tabs>
          <w:tab w:leader="none" w:pos="1020" w:val="left"/>
        </w:tabs>
        <w:rPr>
          <w:sz w:val="20"/>
          <w:szCs w:val="20"/>
          <w:color w:val="auto"/>
        </w:rPr>
      </w:pPr>
      <w:r>
        <w:rPr>
          <w:rFonts w:ascii="Times New Roman" w:cs="Times New Roman" w:eastAsia="Times New Roman" w:hAnsi="Times New Roman"/>
          <w:sz w:val="22"/>
          <w:szCs w:val="22"/>
          <w:color w:val="auto"/>
        </w:rPr>
        <w:t>Telefax:</w:t>
      </w:r>
      <w:r>
        <w:rPr>
          <w:sz w:val="20"/>
          <w:szCs w:val="20"/>
          <w:color w:val="auto"/>
        </w:rPr>
        <w:tab/>
      </w:r>
      <w:r>
        <w:rPr>
          <w:rFonts w:ascii="Times New Roman" w:cs="Times New Roman" w:eastAsia="Times New Roman" w:hAnsi="Times New Roman"/>
          <w:sz w:val="21"/>
          <w:szCs w:val="21"/>
          <w:color w:val="auto"/>
        </w:rPr>
        <w:t>[(___) 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w:t>
      </w:r>
    </w:p>
    <w:p>
      <w:pPr>
        <w:spacing w:after="0" w:line="1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1"/>
          <w:szCs w:val="21"/>
          <w:color w:val="auto"/>
        </w:rPr>
        <w:t>[(___) ___-____]</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Telefax:</w:t>
      </w:r>
      <w:r>
        <w:rPr>
          <w:sz w:val="20"/>
          <w:szCs w:val="20"/>
          <w:color w:val="auto"/>
        </w:rPr>
        <w:tab/>
      </w:r>
      <w:r>
        <w:rPr>
          <w:rFonts w:ascii="Times New Roman" w:cs="Times New Roman" w:eastAsia="Times New Roman" w:hAnsi="Times New Roman"/>
          <w:sz w:val="21"/>
          <w:szCs w:val="21"/>
          <w:color w:val="auto"/>
        </w:rPr>
        <w:t>[(___) ___-____]</w:t>
      </w:r>
    </w:p>
    <w:p>
      <w:pPr>
        <w:spacing w:after="0" w:line="200" w:lineRule="exact"/>
        <w:rPr>
          <w:sz w:val="20"/>
          <w:szCs w:val="20"/>
          <w:color w:val="auto"/>
        </w:rPr>
      </w:pPr>
    </w:p>
    <w:p>
      <w:pPr>
        <w:sectPr>
          <w:pgSz w:w="11900" w:h="16838" w:orient="portrait"/>
          <w:cols w:equalWidth="0" w:num="2">
            <w:col w:w="5000" w:space="720"/>
            <w:col w:w="4419"/>
          </w:cols>
          <w:pgMar w:left="320" w:top="1422" w:right="1440" w:bottom="1440" w:gutter="0" w:footer="0" w:header="0"/>
          <w:type w:val="continuous"/>
        </w:sectPr>
      </w:pP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Account for Payments:</w:t>
      </w:r>
    </w:p>
    <w:p>
      <w:pPr>
        <w:spacing w:after="0" w:line="3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NAME</w:t>
      </w:r>
    </w:p>
    <w:p>
      <w:pPr>
        <w:spacing w:after="0" w:line="29" w:lineRule="exact"/>
        <w:rPr>
          <w:sz w:val="20"/>
          <w:szCs w:val="20"/>
          <w:color w:val="auto"/>
        </w:rPr>
      </w:pPr>
    </w:p>
    <w:p>
      <w:pPr>
        <w:ind w:left="120"/>
        <w:spacing w:after="0"/>
        <w:tabs>
          <w:tab w:leader="none" w:pos="1600" w:val="left"/>
        </w:tabs>
        <w:rPr>
          <w:sz w:val="20"/>
          <w:szCs w:val="20"/>
          <w:color w:val="auto"/>
        </w:rPr>
      </w:pPr>
      <w:r>
        <w:rPr>
          <w:rFonts w:ascii="Times New Roman" w:cs="Times New Roman" w:eastAsia="Times New Roman" w:hAnsi="Times New Roman"/>
          <w:sz w:val="22"/>
          <w:szCs w:val="22"/>
          <w:color w:val="auto"/>
        </w:rPr>
        <w:t>ABA Number:</w:t>
      </w:r>
      <w:r>
        <w:rPr>
          <w:sz w:val="20"/>
          <w:szCs w:val="20"/>
          <w:color w:val="auto"/>
        </w:rPr>
        <w:tab/>
      </w:r>
      <w:r>
        <w:rPr>
          <w:rFonts w:ascii="Times New Roman" w:cs="Times New Roman" w:eastAsia="Times New Roman" w:hAnsi="Times New Roman"/>
          <w:sz w:val="21"/>
          <w:szCs w:val="21"/>
          <w:color w:val="auto"/>
        </w:rPr>
        <w:t>[___-___-___]</w:t>
      </w:r>
    </w:p>
    <w:p>
      <w:pPr>
        <w:spacing w:after="0" w:line="17" w:lineRule="exact"/>
        <w:rPr>
          <w:sz w:val="20"/>
          <w:szCs w:val="20"/>
          <w:color w:val="auto"/>
        </w:rPr>
      </w:pPr>
    </w:p>
    <w:p>
      <w:pPr>
        <w:ind w:left="120"/>
        <w:spacing w:after="0"/>
        <w:tabs>
          <w:tab w:leader="none" w:pos="1880" w:val="left"/>
        </w:tabs>
        <w:rPr>
          <w:sz w:val="20"/>
          <w:szCs w:val="20"/>
          <w:color w:val="auto"/>
        </w:rPr>
      </w:pPr>
      <w:r>
        <w:rPr>
          <w:rFonts w:ascii="Times New Roman" w:cs="Times New Roman" w:eastAsia="Times New Roman" w:hAnsi="Times New Roman"/>
          <w:sz w:val="22"/>
          <w:szCs w:val="22"/>
          <w:color w:val="auto"/>
        </w:rPr>
        <w:t>Account Number:</w:t>
      </w:r>
      <w:r>
        <w:rPr>
          <w:sz w:val="20"/>
          <w:szCs w:val="20"/>
          <w:color w:val="auto"/>
        </w:rPr>
        <w:tab/>
      </w:r>
      <w:r>
        <w:rPr>
          <w:rFonts w:ascii="Times New Roman" w:cs="Times New Roman" w:eastAsia="Times New Roman" w:hAnsi="Times New Roman"/>
          <w:sz w:val="21"/>
          <w:szCs w:val="21"/>
          <w:color w:val="auto"/>
        </w:rPr>
        <w:t>[___________]</w:t>
      </w:r>
    </w:p>
    <w:p>
      <w:pPr>
        <w:spacing w:after="0" w:line="17" w:lineRule="exact"/>
        <w:rPr>
          <w:sz w:val="20"/>
          <w:szCs w:val="20"/>
          <w:color w:val="auto"/>
        </w:rPr>
      </w:pPr>
    </w:p>
    <w:p>
      <w:pPr>
        <w:ind w:left="120"/>
        <w:spacing w:after="0"/>
        <w:tabs>
          <w:tab w:leader="none" w:pos="120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[______________]</w:t>
      </w:r>
    </w:p>
    <w:p>
      <w:pPr>
        <w:spacing w:after="0" w:line="17" w:lineRule="exact"/>
        <w:rPr>
          <w:sz w:val="20"/>
          <w:szCs w:val="20"/>
          <w:color w:val="auto"/>
        </w:rPr>
      </w:pPr>
    </w:p>
    <w:p>
      <w:pPr>
        <w:ind w:left="340"/>
        <w:spacing w:after="0"/>
        <w:tabs>
          <w:tab w:leader="none" w:pos="8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[________________]</w:t>
      </w:r>
    </w:p>
    <w:p>
      <w:pPr>
        <w:sectPr>
          <w:pgSz w:w="11900" w:h="16838" w:orient="portrait"/>
          <w:cols w:equalWidth="0" w:num="1">
            <w:col w:w="10139"/>
          </w:cols>
          <w:pgMar w:left="320" w:top="1422" w:right="1440" w:bottom="1440" w:gutter="0" w:footer="0" w:header="0"/>
          <w:type w:val="continuous"/>
        </w:sectPr>
      </w:pP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Consented to this [_____] day of</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[_______________________], 20[__]</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this[______] day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 20[__]</w:t>
      </w:r>
    </w:p>
    <w:p>
      <w:pPr>
        <w:spacing w:after="0" w:line="200" w:lineRule="exact"/>
        <w:rPr>
          <w:sz w:val="20"/>
          <w:szCs w:val="20"/>
          <w:color w:val="auto"/>
        </w:rPr>
      </w:pPr>
    </w:p>
    <w:p>
      <w:pPr>
        <w:sectPr>
          <w:pgSz w:w="11900" w:h="16838" w:orient="portrait"/>
          <w:cols w:equalWidth="0" w:num="2">
            <w:col w:w="5000" w:space="720"/>
            <w:col w:w="4419"/>
          </w:cols>
          <w:pgMar w:left="320" w:top="1422" w:right="1440"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[______________], as Administrator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 as Agent</w:t>
      </w:r>
    </w:p>
    <w:p>
      <w:pPr>
        <w:spacing w:after="0" w:line="200" w:lineRule="exact"/>
        <w:rPr>
          <w:sz w:val="20"/>
          <w:szCs w:val="20"/>
          <w:color w:val="auto"/>
        </w:rPr>
      </w:pPr>
    </w:p>
    <w:p>
      <w:pPr>
        <w:sectPr>
          <w:pgSz w:w="11900" w:h="16838" w:orient="portrait"/>
          <w:cols w:equalWidth="0" w:num="2">
            <w:col w:w="5000" w:space="720"/>
            <w:col w:w="4419"/>
          </w:cols>
          <w:pgMar w:left="320" w:top="1422"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8" w:lineRule="exact"/>
        <w:rPr>
          <w:sz w:val="20"/>
          <w:szCs w:val="20"/>
          <w:color w:val="auto"/>
        </w:rPr>
      </w:pPr>
    </w:p>
    <w:p>
      <w:pPr>
        <w:sectPr>
          <w:pgSz w:w="11900" w:h="16838" w:orient="portrait"/>
          <w:cols w:equalWidth="0" w:num="2">
            <w:col w:w="4960" w:space="720"/>
            <w:col w:w="4459"/>
          </w:cols>
          <w:pgMar w:left="320" w:top="1422"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21"/>
          <w:szCs w:val="21"/>
          <w:color w:val="auto"/>
        </w:rPr>
        <w:t>Name:</w:t>
      </w:r>
    </w:p>
    <w:p>
      <w:pPr>
        <w:spacing w:after="0" w:line="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Name: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ectPr>
          <w:pgSz w:w="11900" w:h="16838" w:orient="portrait"/>
          <w:cols w:equalWidth="0" w:num="2">
            <w:col w:w="5180" w:space="720"/>
            <w:col w:w="4239"/>
          </w:cols>
          <w:pgMar w:left="320" w:top="1422" w:right="1440"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GREIF RECEIVABLES FUNDING LLC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4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A-5</w:t>
      </w:r>
    </w:p>
    <w:p>
      <w:pPr>
        <w:sectPr>
          <w:pgSz w:w="11900" w:h="16838" w:orient="portrait"/>
          <w:cols w:equalWidth="0" w:num="1">
            <w:col w:w="10139"/>
          </w:cols>
          <w:pgMar w:left="320" w:top="1422" w:right="1440" w:bottom="1440" w:gutter="0" w:footer="0" w:header="0"/>
          <w:type w:val="continuous"/>
        </w:sectPr>
      </w:pPr>
    </w:p>
    <w:bookmarkStart w:id="168" w:name="page169"/>
    <w:bookmarkEnd w:id="16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B-1</w:t>
      </w:r>
    </w:p>
    <w:p>
      <w:pPr>
        <w:sectPr>
          <w:pgSz w:w="11900" w:h="16838" w:orient="portrait"/>
          <w:cols w:equalWidth="0" w:num="1">
            <w:col w:w="11080"/>
          </w:cols>
          <w:pgMar w:left="480" w:top="1422"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Investment Request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Greif Receivables Funding LLC (the “</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 pursuant to Section 2.2(a) of the Fourth Amended and Restated Transfer and Administration Agreement, dated as of May 11, 2026 (as amended, modified, or supplemented from time to time,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among Greif Receivables Funding LLC, as transferor (in such capacity, the “</w:t>
      </w:r>
      <w:r>
        <w:rPr>
          <w:rFonts w:ascii="Times New Roman" w:cs="Times New Roman" w:eastAsia="Times New Roman" w:hAnsi="Times New Roman"/>
          <w:sz w:val="22"/>
          <w:szCs w:val="22"/>
          <w:u w:val="single" w:color="auto"/>
          <w:color w:val="auto"/>
        </w:rPr>
        <w:t>SPV</w:t>
      </w:r>
      <w:r>
        <w:rPr>
          <w:rFonts w:ascii="Times New Roman" w:cs="Times New Roman" w:eastAsia="Times New Roman" w:hAnsi="Times New Roman"/>
          <w:sz w:val="22"/>
          <w:szCs w:val="22"/>
          <w:color w:val="auto"/>
        </w:rPr>
        <w:t>”), the Originators party thereto, Greif Packaging LLC., as servicer (in such capacity, the “</w:t>
      </w:r>
      <w:r>
        <w:rPr>
          <w:rFonts w:ascii="Times New Roman" w:cs="Times New Roman" w:eastAsia="Times New Roman" w:hAnsi="Times New Roman"/>
          <w:sz w:val="22"/>
          <w:szCs w:val="22"/>
          <w:u w:val="single" w:color="auto"/>
          <w:color w:val="auto"/>
        </w:rPr>
        <w:t>Servicer</w:t>
      </w:r>
      <w:r>
        <w:rPr>
          <w:rFonts w:ascii="Times New Roman" w:cs="Times New Roman" w:eastAsia="Times New Roman" w:hAnsi="Times New Roman"/>
          <w:sz w:val="22"/>
          <w:szCs w:val="22"/>
          <w:color w:val="auto"/>
        </w:rPr>
        <w:t>”), PNC Bank, National Association, as agent, and each of the Conduit Investors, Committed Investors, Managing Agents and Administrators from time to time parties thereto, hereby requests that the Investors effect an Investment from it pursuant to the following instructions: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Date:[___________________________________]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 Price:[ ___________________________________]</w:t>
      </w:r>
      <w:r>
        <w:rPr>
          <w:rFonts w:ascii="Times New Roman" w:cs="Times New Roman" w:eastAsia="Times New Roman" w:hAnsi="Times New Roman"/>
          <w:sz w:val="28"/>
          <w:szCs w:val="28"/>
          <w:color w:val="auto"/>
          <w:vertAlign w:val="superscript"/>
        </w:rPr>
        <w:t>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 appropriate level of detail for calculation of Purchase Price]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to be credited:</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[bank name]</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ABA No.[ _____________________________________]</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Account No. [_________________________________]</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Reference No.[ _______________________________]</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Please credit the above-mentioned account on the Investment Date. Capitalized terms used herein and not otherwise defined herein have the meaning assigned to them in the Agreement.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SPV hereby certifies as of the date hereof that the conditions precedent to such Investment set forth in Section 5.2 of the Agreement have been satisfied, and that all of the representations and warranties made in Section 4.1 of the Agreement are true and correct in all material respects (except those representations and warranties qualified by materiality or by reference to a material adverse effect, which are true and correct in all respects), with respect to on and as of the Investment Date, both before and after giving effect to the Investment (unless such representations or warranties specifically refer to a previous day, in which case, they shall be complete and correct in all material respects (or, with respect to such representations or warranties as are qualified by materiality or by reference to a material adverse effect, complete and correct in all respects) on and as of such previous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6459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0" w:lineRule="exact"/>
        <w:rPr>
          <w:sz w:val="20"/>
          <w:szCs w:val="20"/>
          <w:color w:val="auto"/>
        </w:rPr>
      </w:pPr>
    </w:p>
    <w:p>
      <w:pPr>
        <w:ind w:left="240" w:hanging="232"/>
        <w:spacing w:after="0"/>
        <w:tabs>
          <w:tab w:leader="none" w:pos="240" w:val="left"/>
        </w:tabs>
        <w:numPr>
          <w:ilvl w:val="0"/>
          <w:numId w:val="1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least $1,000,000 and in integral multiples of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C-1</w:t>
      </w:r>
    </w:p>
    <w:p>
      <w:pPr>
        <w:sectPr>
          <w:pgSz w:w="11900" w:h="16838" w:orient="portrait"/>
          <w:cols w:equalWidth="0" w:num="1">
            <w:col w:w="11240"/>
          </w:cols>
          <w:pgMar w:left="320" w:top="1422" w:right="339" w:bottom="1440" w:gutter="0" w:footer="0" w:header="0"/>
        </w:sectPr>
      </w:pPr>
    </w:p>
    <w:bookmarkStart w:id="170" w:name="page171"/>
    <w:bookmarkEnd w:id="170"/>
    <w:p>
      <w:pPr>
        <w:jc w:val="center"/>
        <w:ind w:right="39"/>
        <w:spacing w:after="0"/>
        <w:rPr>
          <w:sz w:val="20"/>
          <w:szCs w:val="20"/>
          <w:color w:val="auto"/>
        </w:rPr>
      </w:pPr>
      <w:r>
        <w:rPr>
          <w:rFonts w:ascii="Times New Roman" w:cs="Times New Roman" w:eastAsia="Times New Roman" w:hAnsi="Times New Roman"/>
          <w:sz w:val="21"/>
          <w:szCs w:val="21"/>
          <w:color w:val="auto"/>
        </w:rPr>
        <w:t>GREIF RECEIVABLES FUNDING LLC</w:t>
      </w:r>
    </w:p>
    <w:p>
      <w:pPr>
        <w:spacing w:after="0" w:line="258"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22"/>
          <w:szCs w:val="22"/>
          <w:color w:val="auto"/>
        </w:rPr>
        <w:t>Dated: ________________</w:t>
        <w:tab/>
        <w:t>By:</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C-2</w:t>
      </w:r>
    </w:p>
    <w:p>
      <w:pPr>
        <w:sectPr>
          <w:pgSz w:w="11900" w:h="16838" w:orient="portrait"/>
          <w:cols w:equalWidth="0" w:num="1">
            <w:col w:w="10139"/>
          </w:cols>
          <w:pgMar w:left="320" w:top="1422" w:right="1440"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w:t>
      </w: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Form of Servicer Report</w:t>
      </w:r>
    </w:p>
    <w:p>
      <w:pPr>
        <w:spacing w:after="0" w:line="200" w:lineRule="exact"/>
        <w:rPr>
          <w:sz w:val="20"/>
          <w:szCs w:val="20"/>
          <w:color w:val="auto"/>
        </w:rPr>
      </w:pPr>
    </w:p>
    <w:p>
      <w:pPr>
        <w:spacing w:after="0" w:line="26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color w:val="auto"/>
        </w:rPr>
        <w:t>[To be held on file with the Agent when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D-1</w:t>
      </w:r>
    </w:p>
    <w:p>
      <w:pPr>
        <w:sectPr>
          <w:pgSz w:w="11900" w:h="16838" w:orient="portrait"/>
          <w:cols w:equalWidth="0" w:num="1">
            <w:col w:w="11080"/>
          </w:cols>
          <w:pgMar w:left="480" w:top="1422"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SPV 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E-1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1758929705 13433265</w:t>
      </w:r>
    </w:p>
    <w:p>
      <w:pPr>
        <w:sectPr>
          <w:pgSz w:w="11900" w:h="16838" w:orient="portrait"/>
          <w:cols w:equalWidth="0" w:num="1">
            <w:col w:w="11240"/>
          </w:cols>
          <w:pgMar w:left="320" w:top="1422"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F</w:t>
      </w:r>
    </w:p>
    <w:p>
      <w:pPr>
        <w:spacing w:after="0" w:line="21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auto"/>
        </w:rPr>
        <w:t>Form of Originator/Servicer 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F-1</w:t>
      </w:r>
    </w:p>
    <w:p>
      <w:pPr>
        <w:sectPr>
          <w:pgSz w:w="11900" w:h="16838" w:orient="portrait"/>
          <w:cols w:equalWidth="0" w:num="1">
            <w:col w:w="11080"/>
          </w:cols>
          <w:pgMar w:left="480" w:top="1422"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SPECIAL OBLIGOR APPROVAL NOTICE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Agent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Tower at PNC Plaza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300 Fifth Avenue, 11th Floor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Pittsburgh, PA 15222</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[Insert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GREIF RECEIVABLES FUNDING LLC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Approval of Special Obligor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Reference is made to the Fourth Amended and Restated Transfer and Administration Agreement, dated as of May 11, 2026, as amended (the “</w:t>
      </w:r>
      <w:r>
        <w:rPr>
          <w:rFonts w:ascii="Times New Roman" w:cs="Times New Roman" w:eastAsia="Times New Roman" w:hAnsi="Times New Roman"/>
          <w:sz w:val="21"/>
          <w:szCs w:val="21"/>
          <w:u w:val="single" w:color="auto"/>
          <w:color w:val="auto"/>
        </w:rPr>
        <w:t>TAA</w:t>
      </w:r>
      <w:r>
        <w:rPr>
          <w:rFonts w:ascii="Times New Roman" w:cs="Times New Roman" w:eastAsia="Times New Roman" w:hAnsi="Times New Roman"/>
          <w:sz w:val="21"/>
          <w:szCs w:val="21"/>
          <w:color w:val="auto"/>
        </w:rPr>
        <w:t>”), by and among Greif Receivables Funding LLC (the “</w:t>
      </w:r>
      <w:r>
        <w:rPr>
          <w:rFonts w:ascii="Times New Roman" w:cs="Times New Roman" w:eastAsia="Times New Roman" w:hAnsi="Times New Roman"/>
          <w:sz w:val="21"/>
          <w:szCs w:val="21"/>
          <w:u w:val="single" w:color="auto"/>
          <w:color w:val="auto"/>
        </w:rPr>
        <w:t>SPV</w:t>
      </w:r>
      <w:r>
        <w:rPr>
          <w:rFonts w:ascii="Times New Roman" w:cs="Times New Roman" w:eastAsia="Times New Roman" w:hAnsi="Times New Roman"/>
          <w:sz w:val="21"/>
          <w:szCs w:val="21"/>
          <w:color w:val="auto"/>
        </w:rPr>
        <w:t>”), Greif Packaging LLC (“</w:t>
      </w:r>
      <w:r>
        <w:rPr>
          <w:rFonts w:ascii="Times New Roman" w:cs="Times New Roman" w:eastAsia="Times New Roman" w:hAnsi="Times New Roman"/>
          <w:sz w:val="21"/>
          <w:szCs w:val="21"/>
          <w:u w:val="single" w:color="auto"/>
          <w:color w:val="auto"/>
        </w:rPr>
        <w:t>GP</w:t>
      </w:r>
      <w:r>
        <w:rPr>
          <w:rFonts w:ascii="Times New Roman" w:cs="Times New Roman" w:eastAsia="Times New Roman" w:hAnsi="Times New Roman"/>
          <w:sz w:val="21"/>
          <w:szCs w:val="21"/>
          <w:color w:val="auto"/>
        </w:rPr>
        <w:t>”), as Servicer, GP, American Flange &amp; Manufacturing Co. Inc., Caraustar Mill Group, Inc., Caraustar Industrial and Consumer Products Group, Inc., Caraustar Recovered Fiber Group, Inc., The Newark Group, Inc., Caraustar Consumer Products Group, LLC, Cascade Paper Converters Co., Container Life Cycle Management LLC, Lee Container, LLC and Lee Container Iowa, LLC as Originators, PNC Bank, National Association, as a Committed Investor, a Managing Agent, an Administrator and Agent and the various Investor Groups, Managing Agents and Administrators from time to time parties thereto. Capitalized terms used and not otherwise defined herein shall have the respective meanings ascribed to them in the TAA.</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Agent and the SPV hereby designate [name of party] as a Special Obligor (the “</w:t>
      </w:r>
      <w:r>
        <w:rPr>
          <w:rFonts w:ascii="Times New Roman" w:cs="Times New Roman" w:eastAsia="Times New Roman" w:hAnsi="Times New Roman"/>
          <w:sz w:val="22"/>
          <w:szCs w:val="22"/>
          <w:u w:val="single" w:color="auto"/>
          <w:color w:val="auto"/>
        </w:rPr>
        <w:t>Special Obligor</w:t>
      </w:r>
      <w:r>
        <w:rPr>
          <w:rFonts w:ascii="Times New Roman" w:cs="Times New Roman" w:eastAsia="Times New Roman" w:hAnsi="Times New Roman"/>
          <w:sz w:val="22"/>
          <w:szCs w:val="22"/>
          <w:color w:val="auto"/>
        </w:rPr>
        <w:t>”) with a “Special Concentration Percentage” equal to ___%. It is understood and agreed that the Agent and the Majority Investors may revoke such designation at any time upon two (2) Business Days’ prior written notice to the SPV.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G-1</w:t>
      </w:r>
    </w:p>
    <w:p>
      <w:pPr>
        <w:sectPr>
          <w:pgSz w:w="11900" w:h="16838" w:orient="portrait"/>
          <w:cols w:equalWidth="0" w:num="1">
            <w:col w:w="11240"/>
          </w:cols>
          <w:pgMar w:left="320" w:top="126" w:right="339" w:bottom="1440" w:gutter="0" w:footer="0" w:header="0"/>
        </w:sectPr>
      </w:pPr>
    </w:p>
    <w:bookmarkStart w:id="175" w:name="page176"/>
    <w:bookmarkEnd w:id="175"/>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b w:val="1"/>
          <w:bCs w:val="1"/>
          <w:color w:val="auto"/>
        </w:rPr>
        <w:t>PNC BANK, NATIONAL ASSOCIATION,</w:t>
      </w:r>
    </w:p>
    <w:p>
      <w:pPr>
        <w:spacing w:after="0" w:line="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Agent</w:t>
      </w: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-29210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[[MAJORITY INVESTOR],</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Majority Investor</w:t>
      </w: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-29210</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-29210</wp:posOffset>
            </wp:positionV>
            <wp:extent cx="182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 and Acknowledged by: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GREIF RECEIVABLES FUNDING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the SPV</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Exhibit G-2</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1)"/>
      <w:numFmt w:val="upperLetter"/>
      <w:start w:val="1"/>
    </w:lvl>
  </w:abstractNum>
  <w:abstractNum w:abstractNumId="2">
    <w:nsid w:val="68EBC550"/>
    <w:multiLevelType w:val="hybridMultilevel"/>
    <w:lvl w:ilvl="0">
      <w:lvlJc w:val="left"/>
      <w:lvlText w:val="(%1)"/>
      <w:numFmt w:val="lowerRoman"/>
      <w:start w:val="1"/>
    </w:lvl>
  </w:abstractNum>
  <w:abstractNum w:abstractNumId="3">
    <w:nsid w:val="2DF6D648"/>
    <w:multiLevelType w:val="hybridMultilevel"/>
    <w:lvl w:ilvl="0">
      <w:lvlJc w:val="left"/>
      <w:lvlText w:val="(%1)"/>
      <w:numFmt w:val="upperLetter"/>
      <w:start w:val="1"/>
    </w:lvl>
  </w:abstractNum>
  <w:abstractNum w:abstractNumId="4">
    <w:nsid w:val="46B7D447"/>
    <w:multiLevelType w:val="hybridMultilevel"/>
    <w:lvl w:ilvl="0">
      <w:lvlJc w:val="left"/>
      <w:lvlText w:val="(%1)"/>
      <w:numFmt w:val="lowerLetter"/>
      <w:start w:val="2"/>
    </w:lvl>
  </w:abstractNum>
  <w:abstractNum w:abstractNumId="5">
    <w:nsid w:val="4A2AC315"/>
    <w:multiLevelType w:val="hybridMultilevel"/>
    <w:lvl w:ilvl="0">
      <w:lvlJc w:val="left"/>
      <w:lvlText w:val="(%1)"/>
      <w:numFmt w:val="lowerLetter"/>
      <w:start w:val="2"/>
    </w:lvl>
  </w:abstractNum>
  <w:abstractNum w:abstractNumId="6">
    <w:nsid w:val="39EE015C"/>
    <w:multiLevelType w:val="hybridMultilevel"/>
    <w:lvl w:ilvl="0">
      <w:lvlJc w:val="left"/>
      <w:lvlText w:val="%1"/>
      <w:numFmt w:val="lowerLetter"/>
      <w:start w:val="1"/>
    </w:lvl>
    <w:lvl w:ilvl="1">
      <w:lvlJc w:val="left"/>
      <w:lvlText w:val="(%2)"/>
      <w:numFmt w:val="lowerLetter"/>
      <w:start w:val="1"/>
    </w:lvl>
  </w:abstractNum>
  <w:abstractNum w:abstractNumId="7">
    <w:nsid w:val="57FC4FBB"/>
    <w:multiLevelType w:val="hybridMultilevel"/>
    <w:lvl w:ilvl="0">
      <w:lvlJc w:val="left"/>
      <w:lvlText w:val="(%1)"/>
      <w:numFmt w:val="lowerLetter"/>
      <w:start w:val="35"/>
    </w:lvl>
    <w:lvl w:ilvl="1">
      <w:lvlJc w:val="left"/>
      <w:lvlText w:val="(%2)"/>
      <w:numFmt w:val="lowerLetter"/>
      <w:start w:val="3"/>
    </w:lvl>
  </w:abstractNum>
  <w:abstractNum w:abstractNumId="8">
    <w:nsid w:val="CC1016F"/>
    <w:multiLevelType w:val="hybridMultilevel"/>
    <w:lvl w:ilvl="0">
      <w:lvlJc w:val="left"/>
      <w:lvlText w:val="(%1)"/>
      <w:numFmt w:val="lowerLetter"/>
      <w:start w:val="1"/>
    </w:lvl>
  </w:abstractNum>
  <w:abstractNum w:abstractNumId="9">
    <w:nsid w:val="43F18422"/>
    <w:multiLevelType w:val="hybridMultilevel"/>
    <w:lvl w:ilvl="0">
      <w:lvlJc w:val="left"/>
      <w:lvlText w:val="(%1)"/>
      <w:numFmt w:val="lowerLetter"/>
      <w:start w:val="2"/>
    </w:lvl>
  </w:abstractNum>
  <w:abstractNum w:abstractNumId="10">
    <w:nsid w:val="60EF0119"/>
    <w:multiLevelType w:val="hybridMultilevel"/>
    <w:lvl w:ilvl="0">
      <w:lvlJc w:val="left"/>
      <w:lvlText w:val="(%1)"/>
      <w:numFmt w:val="lowerLetter"/>
      <w:start w:val="1"/>
    </w:lvl>
  </w:abstractNum>
  <w:abstractNum w:abstractNumId="11">
    <w:nsid w:val="26F324BA"/>
    <w:multiLevelType w:val="hybridMultilevel"/>
    <w:lvl w:ilvl="0">
      <w:lvlJc w:val="left"/>
      <w:lvlText w:val="(%1)"/>
      <w:numFmt w:val="lowerLetter"/>
      <w:start w:val="9"/>
    </w:lvl>
    <w:lvl w:ilvl="1">
      <w:lvlJc w:val="left"/>
      <w:lvlText w:val="(%2)"/>
      <w:numFmt w:val="lowerLetter"/>
      <w:start w:val="2"/>
    </w:lvl>
  </w:abstractNum>
  <w:abstractNum w:abstractNumId="12">
    <w:nsid w:val="7F01579B"/>
    <w:multiLevelType w:val="hybridMultilevel"/>
    <w:lvl w:ilvl="0">
      <w:lvlJc w:val="left"/>
      <w:lvlText w:val="(%1)"/>
      <w:numFmt w:val="lowerLetter"/>
      <w:start w:val="1"/>
    </w:lvl>
  </w:abstractNum>
  <w:abstractNum w:abstractNumId="13">
    <w:nsid w:val="49DA307D"/>
    <w:multiLevelType w:val="hybridMultilevel"/>
    <w:lvl w:ilvl="0">
      <w:lvlJc w:val="left"/>
      <w:lvlText w:val="(%1)"/>
      <w:numFmt w:val="lowerLetter"/>
      <w:start w:val="5"/>
    </w:lvl>
    <w:lvl w:ilvl="1">
      <w:lvlJc w:val="left"/>
      <w:lvlText w:val="(%2)"/>
      <w:numFmt w:val="upperLetter"/>
      <w:start w:val="1"/>
    </w:lvl>
  </w:abstractNum>
  <w:abstractNum w:abstractNumId="14">
    <w:nsid w:val="7055A5F5"/>
    <w:multiLevelType w:val="hybridMultilevel"/>
    <w:lvl w:ilvl="0">
      <w:lvlJc w:val="left"/>
      <w:lvlText w:val="(%1)"/>
      <w:numFmt w:val="lowerLetter"/>
      <w:start w:val="1"/>
    </w:lvl>
  </w:abstractNum>
  <w:abstractNum w:abstractNumId="15">
    <w:nsid w:val="5FB8370B"/>
    <w:multiLevelType w:val="hybridMultilevel"/>
    <w:lvl w:ilvl="0">
      <w:lvlJc w:val="left"/>
      <w:lvlText w:val="(%1)"/>
      <w:numFmt w:val="lowerLetter"/>
      <w:start w:val="3"/>
    </w:lvl>
  </w:abstractNum>
  <w:abstractNum w:abstractNumId="16">
    <w:nsid w:val="50801EE1"/>
    <w:multiLevelType w:val="hybridMultilevel"/>
    <w:lvl w:ilvl="0">
      <w:lvlJc w:val="left"/>
      <w:lvlText w:val="(%1)"/>
      <w:numFmt w:val="lowerLetter"/>
      <w:start w:val="10"/>
    </w:lvl>
    <w:lvl w:ilvl="1">
      <w:lvlJc w:val="left"/>
      <w:lvlText w:val="(%2)"/>
      <w:numFmt w:val="upperLetter"/>
      <w:start w:val="1"/>
    </w:lvl>
  </w:abstractNum>
  <w:abstractNum w:abstractNumId="17">
    <w:nsid w:val="488AC1A"/>
    <w:multiLevelType w:val="hybridMultilevel"/>
    <w:lvl w:ilvl="0">
      <w:lvlJc w:val="left"/>
      <w:lvlText w:val="%1"/>
      <w:numFmt w:val="lowerLetter"/>
      <w:start w:val="1"/>
    </w:lvl>
    <w:lvl w:ilvl="1">
      <w:lvlJc w:val="left"/>
      <w:lvlText w:val="(%2)"/>
      <w:numFmt w:val="upperLetter"/>
      <w:start w:val="3"/>
    </w:lvl>
  </w:abstractNum>
  <w:abstractNum w:abstractNumId="18">
    <w:nsid w:val="5FB8011C"/>
    <w:multiLevelType w:val="hybridMultilevel"/>
    <w:lvl w:ilvl="0">
      <w:lvlJc w:val="left"/>
      <w:lvlText w:val="(%1)"/>
      <w:numFmt w:val="lowerLetter"/>
      <w:start w:val="17"/>
    </w:lvl>
    <w:lvl w:ilvl="1">
      <w:lvlJc w:val="left"/>
      <w:lvlText w:val="(%2)"/>
      <w:numFmt w:val="upperLetter"/>
      <w:start w:val="1"/>
    </w:lvl>
  </w:abstractNum>
  <w:abstractNum w:abstractNumId="19">
    <w:nsid w:val="6AA78F7F"/>
    <w:multiLevelType w:val="hybridMultilevel"/>
    <w:lvl w:ilvl="0">
      <w:lvlJc w:val="left"/>
      <w:lvlText w:val="(%1)"/>
      <w:numFmt w:val="lowerLetter"/>
      <w:start w:val="61"/>
    </w:lvl>
    <w:lvl w:ilvl="1">
      <w:lvlJc w:val="left"/>
      <w:lvlText w:val="(%2)"/>
      <w:numFmt w:val="upperLetter"/>
      <w:start w:val="2"/>
    </w:lvl>
  </w:abstractNum>
  <w:abstractNum w:abstractNumId="20">
    <w:nsid w:val="7672BD23"/>
    <w:multiLevelType w:val="hybridMultilevel"/>
    <w:lvl w:ilvl="0">
      <w:lvlJc w:val="left"/>
      <w:lvlText w:val="(%1)"/>
      <w:numFmt w:val="upperLetter"/>
      <w:start w:val="3"/>
    </w:lvl>
  </w:abstractNum>
  <w:abstractNum w:abstractNumId="21">
    <w:nsid w:val="6FC75AF8"/>
    <w:multiLevelType w:val="hybridMultilevel"/>
    <w:lvl w:ilvl="0">
      <w:lvlJc w:val="left"/>
      <w:lvlText w:val="%1"/>
      <w:numFmt w:val="lowerRoman"/>
      <w:start w:val="1"/>
    </w:lvl>
    <w:lvl w:ilvl="1">
      <w:lvlJc w:val="left"/>
      <w:lvlText w:val="(%2)"/>
      <w:numFmt w:val="lowerLetter"/>
      <w:start w:val="1"/>
    </w:lvl>
  </w:abstractNum>
  <w:abstractNum w:abstractNumId="22">
    <w:nsid w:val="6A5F7029"/>
    <w:multiLevelType w:val="hybridMultilevel"/>
    <w:lvl w:ilvl="0">
      <w:lvlJc w:val="left"/>
      <w:lvlText w:val="(%1)"/>
      <w:numFmt w:val="lowerRoman"/>
      <w:start w:val="4"/>
    </w:lvl>
    <w:lvl w:ilvl="1">
      <w:lvlJc w:val="left"/>
      <w:lvlText w:val="%2"/>
      <w:numFmt w:val="lowerLetter"/>
      <w:start w:val="1"/>
    </w:lvl>
  </w:abstractNum>
  <w:abstractNum w:abstractNumId="23">
    <w:nsid w:val="7D5E18F8"/>
    <w:multiLevelType w:val="hybridMultilevel"/>
    <w:lvl w:ilvl="0">
      <w:lvlJc w:val="left"/>
      <w:lvlText w:val="(%1)"/>
      <w:numFmt w:val="lowerLetter"/>
      <w:start w:val="1"/>
    </w:lvl>
  </w:abstractNum>
  <w:abstractNum w:abstractNumId="24">
    <w:nsid w:val="5F3534A4"/>
    <w:multiLevelType w:val="hybridMultilevel"/>
    <w:lvl w:ilvl="0">
      <w:lvlJc w:val="left"/>
      <w:lvlText w:val="(%1)"/>
      <w:numFmt w:val="lowerLetter"/>
      <w:start w:val="2"/>
    </w:lvl>
  </w:abstractNum>
  <w:abstractNum w:abstractNumId="25">
    <w:nsid w:val="73A1821B"/>
    <w:multiLevelType w:val="hybridMultilevel"/>
    <w:lvl w:ilvl="0">
      <w:lvlJc w:val="left"/>
      <w:lvlText w:val="(%1)"/>
      <w:numFmt w:val="lowerLetter"/>
      <w:start w:val="7"/>
    </w:lvl>
  </w:abstractNum>
  <w:abstractNum w:abstractNumId="26">
    <w:nsid w:val="7DE67713"/>
    <w:multiLevelType w:val="hybridMultilevel"/>
    <w:lvl w:ilvl="0">
      <w:lvlJc w:val="left"/>
      <w:lvlText w:val="(%1)"/>
      <w:numFmt w:val="lowerLetter"/>
      <w:start w:val="1"/>
    </w:lvl>
  </w:abstractNum>
  <w:abstractNum w:abstractNumId="27">
    <w:nsid w:val="555C55B5"/>
    <w:multiLevelType w:val="hybridMultilevel"/>
    <w:lvl w:ilvl="0">
      <w:lvlJc w:val="left"/>
      <w:lvlText w:val="(%1)"/>
      <w:numFmt w:val="lowerLetter"/>
      <w:start w:val="3"/>
    </w:lvl>
  </w:abstractNum>
  <w:abstractNum w:abstractNumId="28">
    <w:nsid w:val="3FA62ACA"/>
    <w:multiLevelType w:val="hybridMultilevel"/>
    <w:lvl w:ilvl="0">
      <w:lvlJc w:val="left"/>
      <w:lvlText w:val="%1"/>
      <w:numFmt w:val="lowerLetter"/>
      <w:start w:val="1"/>
    </w:lvl>
    <w:lvl w:ilvl="1">
      <w:lvlJc w:val="left"/>
      <w:lvlText w:val="(%2)"/>
      <w:numFmt w:val="lowerLetter"/>
      <w:start w:val="9"/>
    </w:lvl>
  </w:abstractNum>
  <w:abstractNum w:abstractNumId="29">
    <w:nsid w:val="14FCE74E"/>
    <w:multiLevelType w:val="hybridMultilevel"/>
    <w:lvl w:ilvl="0">
      <w:lvlJc w:val="left"/>
      <w:lvlText w:val="(%1)"/>
      <w:numFmt w:val="lowerLetter"/>
      <w:start w:val="1"/>
    </w:lvl>
    <w:lvl w:ilvl="1">
      <w:lvlJc w:val="left"/>
      <w:lvlText w:val="%2"/>
      <w:numFmt w:val="lowerLetter"/>
      <w:start w:val="1"/>
    </w:lvl>
  </w:abstractNum>
  <w:abstractNum w:abstractNumId="30">
    <w:nsid w:val="6A3DD3E8"/>
    <w:multiLevelType w:val="hybridMultilevel"/>
    <w:lvl w:ilvl="0">
      <w:lvlJc w:val="left"/>
      <w:lvlText w:val="(%1)"/>
      <w:numFmt w:val="lowerLetter"/>
      <w:start w:val="1"/>
    </w:lvl>
  </w:abstractNum>
  <w:abstractNum w:abstractNumId="31">
    <w:nsid w:val="71C91298"/>
    <w:multiLevelType w:val="hybridMultilevel"/>
    <w:lvl w:ilvl="0">
      <w:lvlJc w:val="left"/>
      <w:lvlText w:val="%1"/>
      <w:numFmt w:val="decimal"/>
      <w:start w:val="1"/>
    </w:lvl>
    <w:lvl w:ilvl="1">
      <w:lvlJc w:val="left"/>
      <w:lvlText w:val="(%2)"/>
      <w:numFmt w:val="lowerLetter"/>
      <w:start w:val="9"/>
    </w:lvl>
  </w:abstractNum>
  <w:abstractNum w:abstractNumId="32">
    <w:nsid w:val="9DAF632"/>
    <w:multiLevelType w:val="hybridMultilevel"/>
    <w:lvl w:ilvl="0">
      <w:lvlJc w:val="left"/>
      <w:lvlText w:val="(%1)"/>
      <w:numFmt w:val="decimal"/>
      <w:start w:val="2"/>
    </w:lvl>
    <w:lvl w:ilvl="1">
      <w:lvlJc w:val="left"/>
      <w:lvlText w:val="(%2)"/>
      <w:numFmt w:val="lowerLetter"/>
      <w:start w:val="15"/>
    </w:lvl>
  </w:abstractNum>
  <w:abstractNum w:abstractNumId="33">
    <w:nsid w:val="53299938"/>
    <w:multiLevelType w:val="hybridMultilevel"/>
    <w:lvl w:ilvl="0">
      <w:lvlJc w:val="left"/>
      <w:lvlText w:val="(%1)"/>
      <w:numFmt w:val="lowerLetter"/>
      <w:start w:val="2"/>
    </w:lvl>
  </w:abstractNum>
  <w:abstractNum w:abstractNumId="34">
    <w:nsid w:val="1FBFE8E0"/>
    <w:multiLevelType w:val="hybridMultilevel"/>
    <w:lvl w:ilvl="0">
      <w:lvlJc w:val="left"/>
      <w:lvlText w:val="%1."/>
      <w:numFmt w:val="decimal"/>
      <w:start w:val="1"/>
    </w:lvl>
  </w:abstractNum>
  <w:abstractNum w:abstractNumId="35">
    <w:nsid w:val="5092CA79"/>
    <w:multiLevelType w:val="hybridMultilevel"/>
    <w:lvl w:ilvl="0">
      <w:lvlJc w:val="left"/>
      <w:lvlText w:val="%1."/>
      <w:numFmt w:val="decimal"/>
      <w:start w:val="4"/>
    </w:lvl>
  </w:abstractNum>
  <w:abstractNum w:abstractNumId="36">
    <w:nsid w:val="1D545C4D"/>
    <w:multiLevelType w:val="hybridMultilevel"/>
    <w:lvl w:ilvl="0">
      <w:lvlJc w:val="left"/>
      <w:lvlText w:val="%1"/>
      <w:numFmt w:val="decimal"/>
      <w:start w:val="1"/>
    </w:lvl>
    <w:lvl w:ilvl="1">
      <w:lvlJc w:val="left"/>
      <w:lvlText w:val="%2."/>
      <w:numFmt w:val="decimal"/>
      <w:start w:val="5"/>
    </w:lvl>
  </w:abstractNum>
  <w:abstractNum w:abstractNumId="37">
    <w:nsid w:val="59ADEA3D"/>
    <w:multiLevelType w:val="hybridMultilevel"/>
    <w:lvl w:ilvl="0">
      <w:lvlJc w:val="left"/>
      <w:lvlText w:val="(%1)"/>
      <w:numFmt w:val="decimal"/>
      <w:start w:val="10"/>
    </w:lvl>
    <w:lvl w:ilvl="1">
      <w:lvlJc w:val="left"/>
      <w:lvlText w:val="%2"/>
      <w:numFmt w:val="decimal"/>
      <w:start w:val="1"/>
    </w:lvl>
  </w:abstractNum>
  <w:abstractNum w:abstractNumId="38">
    <w:nsid w:val="288F1A34"/>
    <w:multiLevelType w:val="hybridMultilevel"/>
    <w:lvl w:ilvl="0">
      <w:lvlJc w:val="left"/>
      <w:lvlText w:val="%1."/>
      <w:numFmt w:val="decimal"/>
      <w:start w:val="6"/>
    </w:lvl>
  </w:abstractNum>
  <w:abstractNum w:abstractNumId="39">
    <w:nsid w:val="2A155DBC"/>
    <w:multiLevelType w:val="hybridMultilevel"/>
    <w:lvl w:ilvl="0">
      <w:lvlJc w:val="left"/>
      <w:lvlText w:val="%1."/>
      <w:numFmt w:val="decimal"/>
      <w:start w:val="8"/>
    </w:lvl>
  </w:abstractNum>
  <w:abstractNum w:abstractNumId="40">
    <w:nsid w:val="1D9F6E5F"/>
    <w:multiLevelType w:val="hybridMultilevel"/>
    <w:lvl w:ilvl="0">
      <w:lvlJc w:val="left"/>
      <w:lvlText w:val="(%1)"/>
      <w:numFmt w:val="decimal"/>
      <w:start w:val="1"/>
    </w:lvl>
  </w:abstractNum>
  <w:abstractNum w:abstractNumId="41">
    <w:nsid w:val="97E1B4E"/>
    <w:multiLevelType w:val="hybridMultilevel"/>
    <w:lvl w:ilvl="0">
      <w:lvlJc w:val="left"/>
      <w:lvlText w:val="(%1)"/>
      <w:numFmt w:val="lowerRoman"/>
      <w:start w:val="10"/>
    </w:lvl>
  </w:abstractNum>
  <w:abstractNum w:abstractNumId="42">
    <w:nsid w:val="51088277"/>
    <w:multiLevelType w:val="hybridMultilevel"/>
    <w:lvl w:ilvl="0">
      <w:lvlJc w:val="left"/>
      <w:lvlText w:val="(%1)"/>
      <w:numFmt w:val="lowerLetter"/>
      <w:start w:val="1"/>
    </w:lvl>
  </w:abstractNum>
  <w:abstractNum w:abstractNumId="43">
    <w:nsid w:val="1CA0C5FA"/>
    <w:multiLevelType w:val="hybridMultilevel"/>
    <w:lvl w:ilvl="0">
      <w:lvlJc w:val="left"/>
      <w:lvlText w:val="(%1)"/>
      <w:numFmt w:val="lowerLetter"/>
      <w:start w:val="1"/>
    </w:lvl>
  </w:abstractNum>
  <w:abstractNum w:abstractNumId="44">
    <w:nsid w:val="53584BCB"/>
    <w:multiLevelType w:val="hybridMultilevel"/>
    <w:lvl w:ilvl="0">
      <w:lvlJc w:val="left"/>
      <w:lvlText w:val="(%1)"/>
      <w:numFmt w:val="lowerLetter"/>
      <w:start w:val="1"/>
    </w:lvl>
  </w:abstractNum>
  <w:abstractNum w:abstractNumId="45">
    <w:nsid w:val="415E286C"/>
    <w:multiLevelType w:val="hybridMultilevel"/>
    <w:lvl w:ilvl="0">
      <w:lvlJc w:val="left"/>
      <w:lvlText w:val="(%1)"/>
      <w:numFmt w:val="lowerLetter"/>
      <w:start w:val="1"/>
    </w:lvl>
  </w:abstractNum>
  <w:abstractNum w:abstractNumId="46">
    <w:nsid w:val="7C58FD05"/>
    <w:multiLevelType w:val="hybridMultilevel"/>
    <w:lvl w:ilvl="0">
      <w:lvlJc w:val="left"/>
      <w:lvlText w:val="(%1)"/>
      <w:numFmt w:val="lowerLetter"/>
      <w:start w:val="1"/>
    </w:lvl>
  </w:abstractNum>
  <w:abstractNum w:abstractNumId="47">
    <w:nsid w:val="23D86AAC"/>
    <w:multiLevelType w:val="hybridMultilevel"/>
    <w:lvl w:ilvl="0">
      <w:lvlJc w:val="left"/>
      <w:lvlText w:val="(%1)"/>
      <w:numFmt w:val="lowerLetter"/>
      <w:start w:val="8"/>
    </w:lvl>
  </w:abstractNum>
  <w:abstractNum w:abstractNumId="48">
    <w:nsid w:val="45E6D486"/>
    <w:multiLevelType w:val="hybridMultilevel"/>
    <w:lvl w:ilvl="0">
      <w:lvlJc w:val="left"/>
      <w:lvlText w:val="(%1)"/>
      <w:numFmt w:val="lowerLetter"/>
      <w:start w:val="19"/>
    </w:lvl>
  </w:abstractNum>
  <w:abstractNum w:abstractNumId="49">
    <w:nsid w:val="5C10FE21"/>
    <w:multiLevelType w:val="hybridMultilevel"/>
    <w:lvl w:ilvl="0">
      <w:lvlJc w:val="left"/>
      <w:lvlText w:val="(%1)"/>
      <w:numFmt w:val="decimal"/>
      <w:start w:val="60"/>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lowerLetter"/>
      <w:start w:val="2"/>
    </w:lvl>
  </w:abstractNum>
  <w:abstractNum w:abstractNumId="52">
    <w:nsid w:val="4BD8591A"/>
    <w:multiLevelType w:val="hybridMultilevel"/>
    <w:lvl w:ilvl="0">
      <w:lvlJc w:val="left"/>
      <w:lvlText w:val="(%1)"/>
      <w:numFmt w:val="lowerRoman"/>
      <w:start w:val="2"/>
    </w:lvl>
  </w:abstractNum>
  <w:abstractNum w:abstractNumId="53">
    <w:nsid w:val="78DF6A55"/>
    <w:multiLevelType w:val="hybridMultilevel"/>
    <w:lvl w:ilvl="0">
      <w:lvlJc w:val="left"/>
      <w:lvlText w:val="(%1)"/>
      <w:numFmt w:val="lowerLetter"/>
      <w:start w:val="1"/>
    </w:lvl>
  </w:abstractNum>
  <w:abstractNum w:abstractNumId="54">
    <w:nsid w:val="39B7AAA2"/>
    <w:multiLevelType w:val="hybridMultilevel"/>
    <w:lvl w:ilvl="0">
      <w:lvlJc w:val="left"/>
      <w:lvlText w:val="(%1)"/>
      <w:numFmt w:val="lowerLetter"/>
      <w:start w:val="1"/>
    </w:lvl>
  </w:abstractNum>
  <w:abstractNum w:abstractNumId="55">
    <w:nsid w:val="2B0D8DBE"/>
    <w:multiLevelType w:val="hybridMultilevel"/>
    <w:lvl w:ilvl="0">
      <w:lvlJc w:val="left"/>
      <w:lvlText w:val="(%1)"/>
      <w:numFmt w:val="lowerLetter"/>
      <w:start w:val="2"/>
    </w:lvl>
  </w:abstractNum>
  <w:abstractNum w:abstractNumId="56">
    <w:nsid w:val="6C80EC70"/>
    <w:multiLevelType w:val="hybridMultilevel"/>
    <w:lvl w:ilvl="0">
      <w:lvlJc w:val="left"/>
      <w:lvlText w:val="(%1)"/>
      <w:numFmt w:val="lowerLetter"/>
      <w:start w:val="1"/>
    </w:lvl>
  </w:abstractNum>
  <w:abstractNum w:abstractNumId="57">
    <w:nsid w:val="379E21B5"/>
    <w:multiLevelType w:val="hybridMultilevel"/>
    <w:lvl w:ilvl="0">
      <w:lvlJc w:val="left"/>
      <w:lvlText w:val="(%1)"/>
      <w:numFmt w:val="lowerLetter"/>
      <w:start w:val="1"/>
    </w:lvl>
  </w:abstractNum>
  <w:abstractNum w:abstractNumId="58">
    <w:nsid w:val="69E373"/>
    <w:multiLevelType w:val="hybridMultilevel"/>
    <w:lvl w:ilvl="0">
      <w:lvlJc w:val="left"/>
      <w:lvlText w:val="(%1)"/>
      <w:numFmt w:val="lowerRoman"/>
      <w:start w:val="1"/>
    </w:lvl>
  </w:abstractNum>
  <w:abstractNum w:abstractNumId="59">
    <w:nsid w:val="2C27173B"/>
    <w:multiLevelType w:val="hybridMultilevel"/>
    <w:lvl w:ilvl="0">
      <w:lvlJc w:val="left"/>
      <w:lvlText w:val="D"/>
      <w:numFmt w:val="bullet"/>
      <w:start w:val="1"/>
    </w:lvl>
  </w:abstractNum>
  <w:abstractNum w:abstractNumId="60">
    <w:nsid w:val="4C9B0904"/>
    <w:multiLevelType w:val="hybridMultilevel"/>
    <w:lvl w:ilvl="0">
      <w:lvlJc w:val="left"/>
      <w:lvlText w:val="(%1)"/>
      <w:numFmt w:val="lowerLetter"/>
      <w:start w:val="1"/>
    </w:lvl>
  </w:abstractNum>
  <w:abstractNum w:abstractNumId="61">
    <w:nsid w:val="6AA7B75C"/>
    <w:multiLevelType w:val="hybridMultilevel"/>
    <w:lvl w:ilvl="0">
      <w:lvlJc w:val="left"/>
      <w:lvlText w:val="(%1)"/>
      <w:numFmt w:val="lowerLetter"/>
      <w:start w:val="2"/>
    </w:lvl>
    <w:lvl w:ilvl="1">
      <w:lvlJc w:val="left"/>
      <w:lvlText w:val="(%2)"/>
      <w:numFmt w:val="lowerLetter"/>
      <w:start w:val="9"/>
    </w:lvl>
  </w:abstractNum>
  <w:abstractNum w:abstractNumId="62">
    <w:nsid w:val="1DF029D3"/>
    <w:multiLevelType w:val="hybridMultilevel"/>
    <w:lvl w:ilvl="0">
      <w:lvlJc w:val="left"/>
      <w:lvlText w:val="(%1)"/>
      <w:numFmt w:val="lowerRoman"/>
      <w:start w:val="2"/>
    </w:lvl>
  </w:abstractNum>
  <w:abstractNum w:abstractNumId="63">
    <w:nsid w:val="5675FF36"/>
    <w:multiLevelType w:val="hybridMultilevel"/>
    <w:lvl w:ilvl="0">
      <w:lvlJc w:val="left"/>
      <w:lvlText w:val="(%1)"/>
      <w:numFmt w:val="lowerLetter"/>
      <w:start w:val="1"/>
    </w:lvl>
  </w:abstractNum>
  <w:abstractNum w:abstractNumId="64">
    <w:nsid w:val="3DD15094"/>
    <w:multiLevelType w:val="hybridMultilevel"/>
    <w:lvl w:ilvl="0">
      <w:lvlJc w:val="left"/>
      <w:lvlText w:val="(%1)"/>
      <w:numFmt w:val="lowerLetter"/>
      <w:start w:val="4"/>
    </w:lvl>
  </w:abstractNum>
  <w:abstractNum w:abstractNumId="65">
    <w:nsid w:val="3DB012B3"/>
    <w:multiLevelType w:val="hybridMultilevel"/>
    <w:lvl w:ilvl="0">
      <w:lvlJc w:val="left"/>
      <w:lvlText w:val="(%1)"/>
      <w:numFmt w:val="lowerLetter"/>
      <w:start w:val="1"/>
    </w:lvl>
  </w:abstractNum>
  <w:abstractNum w:abstractNumId="66">
    <w:nsid w:val="2708C9AF"/>
    <w:multiLevelType w:val="hybridMultilevel"/>
    <w:lvl w:ilvl="0">
      <w:lvlJc w:val="left"/>
      <w:lvlText w:val="(%1)"/>
      <w:numFmt w:val="lowerLetter"/>
      <w:start w:val="2"/>
    </w:lvl>
    <w:lvl w:ilvl="1">
      <w:lvlJc w:val="left"/>
      <w:lvlText w:val="(%2)"/>
      <w:numFmt w:val="lowerLetter"/>
      <w:start w:val="9"/>
    </w:lvl>
  </w:abstractNum>
  <w:abstractNum w:abstractNumId="67">
    <w:nsid w:val="5B25ACE2"/>
    <w:multiLevelType w:val="hybridMultilevel"/>
    <w:lvl w:ilvl="0">
      <w:lvlJc w:val="left"/>
      <w:lvlText w:val="%1"/>
      <w:numFmt w:val="lowerLetter"/>
      <w:start w:val="1"/>
    </w:lvl>
    <w:lvl w:ilvl="1">
      <w:lvlJc w:val="left"/>
      <w:lvlText w:val="(%2)"/>
      <w:numFmt w:val="lowerLetter"/>
      <w:start w:val="35"/>
    </w:lvl>
  </w:abstractNum>
  <w:abstractNum w:abstractNumId="68">
    <w:nsid w:val="175DFCF0"/>
    <w:multiLevelType w:val="hybridMultilevel"/>
    <w:lvl w:ilvl="0">
      <w:lvlJc w:val="left"/>
      <w:lvlText w:val="(%1)"/>
      <w:numFmt w:val="lowerLetter"/>
      <w:start w:val="3"/>
    </w:lvl>
    <w:lvl w:ilvl="1">
      <w:lvlJc w:val="left"/>
      <w:lvlText w:val="%2"/>
      <w:numFmt w:val="lowerLetter"/>
      <w:start w:val="1"/>
    </w:lvl>
  </w:abstractNum>
  <w:abstractNum w:abstractNumId="69">
    <w:nsid w:val="4F97E3E4"/>
    <w:multiLevelType w:val="hybridMultilevel"/>
    <w:lvl w:ilvl="0">
      <w:lvlJc w:val="left"/>
      <w:lvlText w:val="(%1)"/>
      <w:numFmt w:val="lowerLetter"/>
      <w:start w:val="4"/>
    </w:lvl>
  </w:abstractNum>
  <w:abstractNum w:abstractNumId="70">
    <w:nsid w:val="53B0A9E"/>
    <w:multiLevelType w:val="hybridMultilevel"/>
    <w:lvl w:ilvl="0">
      <w:lvlJc w:val="left"/>
      <w:lvlText w:val="(%1)"/>
      <w:numFmt w:val="lowerLetter"/>
      <w:start w:val="1"/>
    </w:lvl>
    <w:lvl w:ilvl="1">
      <w:lvlJc w:val="left"/>
      <w:lvlText w:val="(%2)"/>
      <w:numFmt w:val="lowerLetter"/>
      <w:start w:val="9"/>
    </w:lvl>
  </w:abstractNum>
  <w:abstractNum w:abstractNumId="71">
    <w:nsid w:val="34FD6B4F"/>
    <w:multiLevelType w:val="hybridMultilevel"/>
    <w:lvl w:ilvl="0">
      <w:lvlJc w:val="left"/>
      <w:lvlText w:val="%1"/>
      <w:numFmt w:val="lowerRoman"/>
      <w:start w:val="1"/>
    </w:lvl>
    <w:lvl w:ilvl="1">
      <w:lvlJc w:val="left"/>
      <w:lvlText w:val="(%2)"/>
      <w:numFmt w:val="upperLetter"/>
      <w:start w:val="1"/>
    </w:lvl>
  </w:abstractNum>
  <w:abstractNum w:abstractNumId="72">
    <w:nsid w:val="5915FF32"/>
    <w:multiLevelType w:val="hybridMultilevel"/>
    <w:lvl w:ilvl="0">
      <w:lvlJc w:val="left"/>
      <w:lvlText w:val="(%1)"/>
      <w:numFmt w:val="lowerRoman"/>
      <w:start w:val="2"/>
    </w:lvl>
    <w:lvl w:ilvl="1">
      <w:lvlJc w:val="left"/>
      <w:lvlText w:val="%2"/>
      <w:numFmt w:val="upperLetter"/>
      <w:start w:val="1"/>
    </w:lvl>
  </w:abstractNum>
  <w:abstractNum w:abstractNumId="73">
    <w:nsid w:val="56438D15"/>
    <w:multiLevelType w:val="hybridMultilevel"/>
    <w:lvl w:ilvl="0">
      <w:lvlJc w:val="left"/>
      <w:lvlText w:val="(%1)"/>
      <w:numFmt w:val="lowerLetter"/>
      <w:start w:val="3"/>
    </w:lvl>
    <w:lvl w:ilvl="1">
      <w:lvlJc w:val="left"/>
      <w:lvlText w:val="(%2)"/>
      <w:numFmt w:val="lowerRoman"/>
      <w:start w:val="1"/>
    </w:lvl>
  </w:abstractNum>
  <w:abstractNum w:abstractNumId="74">
    <w:nsid w:val="519E3149"/>
    <w:multiLevelType w:val="hybridMultilevel"/>
    <w:lvl w:ilvl="0">
      <w:lvlJc w:val="left"/>
      <w:lvlText w:val="(%1)"/>
      <w:numFmt w:val="lowerLetter"/>
      <w:start w:val="1"/>
    </w:lvl>
  </w:abstractNum>
  <w:abstractNum w:abstractNumId="75">
    <w:nsid w:val="2C6E4AFD"/>
    <w:multiLevelType w:val="hybridMultilevel"/>
    <w:lvl w:ilvl="0">
      <w:lvlJc w:val="left"/>
      <w:lvlText w:val="(%1)"/>
      <w:numFmt w:val="lowerLetter"/>
      <w:start w:val="2"/>
    </w:lvl>
  </w:abstractNum>
  <w:abstractNum w:abstractNumId="76">
    <w:nsid w:val="17A1B582"/>
    <w:multiLevelType w:val="hybridMultilevel"/>
    <w:lvl w:ilvl="0">
      <w:lvlJc w:val="left"/>
      <w:lvlText w:val="%1"/>
      <w:numFmt w:val="lowerLetter"/>
      <w:start w:val="1"/>
    </w:lvl>
    <w:lvl w:ilvl="1">
      <w:lvlJc w:val="left"/>
      <w:lvlText w:val="(%2)"/>
      <w:numFmt w:val="lowerLetter"/>
      <w:start w:val="2"/>
    </w:lvl>
  </w:abstractNum>
  <w:abstractNum w:abstractNumId="77">
    <w:nsid w:val="4DF72E4E"/>
    <w:multiLevelType w:val="hybridMultilevel"/>
    <w:lvl w:ilvl="0">
      <w:lvlJc w:val="left"/>
      <w:lvlText w:val="(%1)"/>
      <w:numFmt w:val="lowerLetter"/>
      <w:start w:val="20"/>
    </w:lvl>
    <w:lvl w:ilvl="1">
      <w:lvlJc w:val="left"/>
      <w:lvlText w:val="%2"/>
      <w:numFmt w:val="lowerLetter"/>
      <w:start w:val="1"/>
    </w:lvl>
  </w:abstractNum>
  <w:abstractNum w:abstractNumId="78">
    <w:nsid w:val="5046B5A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79">
    <w:nsid w:val="5D888A0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0">
    <w:nsid w:val="2A082C7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1">
    <w:nsid w:val="5EC6AFD4"/>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82">
    <w:nsid w:val="19E21BB2"/>
    <w:multiLevelType w:val="hybridMultilevel"/>
    <w:lvl w:ilvl="0">
      <w:lvlJc w:val="left"/>
      <w:lvlText w:val="(%1)"/>
      <w:numFmt w:val="lowerRoman"/>
      <w:start w:val="2"/>
    </w:lvl>
  </w:abstractNum>
  <w:abstractNum w:abstractNumId="83">
    <w:nsid w:val="75E0858A"/>
    <w:multiLevelType w:val="hybridMultilevel"/>
    <w:lvl w:ilvl="0">
      <w:lvlJc w:val="left"/>
      <w:lvlText w:val="(%1)"/>
      <w:numFmt w:val="lowerLetter"/>
      <w:start w:val="3"/>
    </w:lvl>
    <w:lvl w:ilvl="1">
      <w:lvlJc w:val="left"/>
      <w:lvlText w:val="(%2)"/>
      <w:numFmt w:val="lowerRoman"/>
      <w:start w:val="1"/>
    </w:lvl>
  </w:abstractNum>
  <w:abstractNum w:abstractNumId="84">
    <w:nsid w:val="57A61A29"/>
    <w:multiLevelType w:val="hybridMultilevel"/>
    <w:lvl w:ilvl="0">
      <w:lvlJc w:val="left"/>
      <w:lvlText w:val="%1"/>
      <w:numFmt w:val="upperLetter"/>
      <w:start w:val="1"/>
    </w:lvl>
    <w:lvl w:ilvl="1">
      <w:lvlJc w:val="left"/>
      <w:lvlText w:val="(%2)"/>
      <w:numFmt w:val="lowerLetter"/>
      <w:start w:val="1"/>
    </w:lvl>
  </w:abstractNum>
  <w:abstractNum w:abstractNumId="85">
    <w:nsid w:val="5399C654"/>
    <w:multiLevelType w:val="hybridMultilevel"/>
    <w:lvl w:ilvl="0">
      <w:lvlJc w:val="left"/>
      <w:lvlText w:val="(%1)"/>
      <w:numFmt w:val="upperLetter"/>
      <w:start w:val="2"/>
    </w:lvl>
    <w:lvl w:ilvl="1">
      <w:lvlJc w:val="left"/>
      <w:lvlText w:val="%2"/>
      <w:numFmt w:val="lowerLetter"/>
      <w:start w:val="1"/>
    </w:lvl>
  </w:abstractNum>
  <w:abstractNum w:abstractNumId="86">
    <w:nsid w:val="20EE1348"/>
    <w:multiLevelType w:val="hybridMultilevel"/>
    <w:lvl w:ilvl="0">
      <w:lvlJc w:val="left"/>
      <w:lvlText w:val="(%1)"/>
      <w:numFmt w:val="lowerLetter"/>
      <w:start w:val="1"/>
    </w:lvl>
  </w:abstractNum>
  <w:abstractNum w:abstractNumId="87">
    <w:nsid w:val="4427069A"/>
    <w:multiLevelType w:val="hybridMultilevel"/>
    <w:lvl w:ilvl="0">
      <w:lvlJc w:val="left"/>
      <w:lvlText w:val="(%1)"/>
      <w:numFmt w:val="lowerLetter"/>
      <w:start w:val="4"/>
    </w:lvl>
  </w:abstractNum>
  <w:abstractNum w:abstractNumId="88">
    <w:nsid w:val="B37E80A"/>
    <w:multiLevelType w:val="hybridMultilevel"/>
    <w:lvl w:ilvl="0">
      <w:lvlJc w:val="left"/>
      <w:lvlText w:val="(%1)"/>
      <w:numFmt w:val="lowerLetter"/>
      <w:start w:val="1"/>
    </w:lvl>
  </w:abstractNum>
  <w:abstractNum w:abstractNumId="89">
    <w:nsid w:val="2157F6BC"/>
    <w:multiLevelType w:val="hybridMultilevel"/>
    <w:lvl w:ilvl="0">
      <w:lvlJc w:val="left"/>
      <w:lvlText w:val="(%1)"/>
      <w:numFmt w:val="lowerLetter"/>
      <w:start w:val="2"/>
    </w:lvl>
  </w:abstractNum>
  <w:abstractNum w:abstractNumId="90">
    <w:nsid w:val="704E1DD5"/>
    <w:multiLevelType w:val="hybridMultilevel"/>
    <w:lvl w:ilvl="0">
      <w:lvlJc w:val="left"/>
      <w:lvlText w:val="(%1)"/>
      <w:numFmt w:val="lowerLetter"/>
      <w:start w:val="3"/>
    </w:lvl>
  </w:abstractNum>
  <w:abstractNum w:abstractNumId="91">
    <w:nsid w:val="57D2F10E"/>
    <w:multiLevelType w:val="hybridMultilevel"/>
    <w:lvl w:ilvl="0">
      <w:lvlJc w:val="left"/>
      <w:lvlText w:val="%1"/>
      <w:numFmt w:val="lowerRoman"/>
      <w:start w:val="1"/>
    </w:lvl>
    <w:lvl w:ilvl="1">
      <w:lvlJc w:val="left"/>
      <w:lvlText w:val="(%2)"/>
      <w:numFmt w:val="lowerLetter"/>
      <w:start w:val="1"/>
    </w:lvl>
  </w:abstractNum>
  <w:abstractNum w:abstractNumId="92">
    <w:nsid w:val="BFFAE18"/>
    <w:multiLevelType w:val="hybridMultilevel"/>
    <w:lvl w:ilvl="0">
      <w:lvlJc w:val="left"/>
      <w:lvlText w:val="(%1)"/>
      <w:numFmt w:val="lowerRoman"/>
      <w:start w:val="4"/>
    </w:lvl>
    <w:lvl w:ilvl="1">
      <w:lvlJc w:val="left"/>
      <w:lvlText w:val="(%2)"/>
      <w:numFmt w:val="lowerLetter"/>
      <w:start w:val="2"/>
    </w:lvl>
  </w:abstractNum>
  <w:abstractNum w:abstractNumId="93">
    <w:nsid w:val="E3E47A8"/>
    <w:multiLevelType w:val="hybridMultilevel"/>
    <w:lvl w:ilvl="0">
      <w:lvlJc w:val="left"/>
      <w:lvlText w:val="%1"/>
      <w:numFmt w:val="lowerLetter"/>
      <w:start w:val="1"/>
    </w:lvl>
    <w:lvl w:ilvl="1">
      <w:lvlJc w:val="left"/>
      <w:lvlText w:val="(%2)"/>
      <w:numFmt w:val="lowerLetter"/>
      <w:start w:val="6"/>
    </w:lvl>
  </w:abstractNum>
  <w:abstractNum w:abstractNumId="94">
    <w:nsid w:val="2E48F044"/>
    <w:multiLevelType w:val="hybridMultilevel"/>
    <w:lvl w:ilvl="0">
      <w:lvlJc w:val="left"/>
      <w:lvlText w:val="(%1)"/>
      <w:numFmt w:val="lowerLetter"/>
      <w:start w:val="35"/>
    </w:lvl>
    <w:lvl w:ilvl="1">
      <w:lvlJc w:val="left"/>
      <w:lvlText w:val="(%2)"/>
      <w:numFmt w:val="lowerLetter"/>
      <w:start w:val="7"/>
    </w:lvl>
  </w:abstractNum>
  <w:abstractNum w:abstractNumId="95">
    <w:nsid w:val="49D0FEAC"/>
    <w:multiLevelType w:val="hybridMultilevel"/>
    <w:lvl w:ilvl="0">
      <w:lvlJc w:val="left"/>
      <w:lvlText w:val="(%1)"/>
      <w:numFmt w:val="lowerLetter"/>
      <w:start w:val="9"/>
    </w:lvl>
    <w:lvl w:ilvl="1">
      <w:lvlJc w:val="left"/>
      <w:lvlText w:val="(%2)"/>
      <w:numFmt w:val="lowerLetter"/>
      <w:start w:val="9"/>
    </w:lvl>
  </w:abstractNum>
  <w:abstractNum w:abstractNumId="96">
    <w:nsid w:val="4BEE5A5B"/>
    <w:multiLevelType w:val="hybridMultilevel"/>
    <w:lvl w:ilvl="0">
      <w:lvlJc w:val="left"/>
      <w:lvlText w:val="(%1)"/>
      <w:numFmt w:val="lowerLetter"/>
      <w:start w:val="35"/>
    </w:lvl>
    <w:lvl w:ilvl="1">
      <w:lvlJc w:val="left"/>
      <w:lvlText w:val="%2"/>
      <w:numFmt w:val="lowerLetter"/>
      <w:start w:val="1"/>
    </w:lvl>
  </w:abstractNum>
  <w:abstractNum w:abstractNumId="97">
    <w:nsid w:val="5551B9F3"/>
    <w:multiLevelType w:val="hybridMultilevel"/>
    <w:lvl w:ilvl="0">
      <w:lvlJc w:val="left"/>
      <w:lvlText w:val="%1"/>
      <w:numFmt w:val="lowerLetter"/>
      <w:start w:val="1"/>
    </w:lvl>
    <w:lvl w:ilvl="1">
      <w:lvlJc w:val="left"/>
      <w:lvlText w:val="(%2)"/>
      <w:numFmt w:val="lowerLetter"/>
      <w:start w:val="11"/>
    </w:lvl>
  </w:abstractNum>
  <w:abstractNum w:abstractNumId="98">
    <w:nsid w:val="24F6AB8E"/>
    <w:multiLevelType w:val="hybridMultilevel"/>
    <w:lvl w:ilvl="0">
      <w:lvlJc w:val="left"/>
      <w:lvlText w:val="(%1)"/>
      <w:numFmt w:val="lowerLetter"/>
      <w:start w:val="35"/>
    </w:lvl>
    <w:lvl w:ilvl="1">
      <w:lvlJc w:val="left"/>
      <w:lvlText w:val="(%2)"/>
      <w:numFmt w:val="lowerLetter"/>
      <w:start w:val="18"/>
    </w:lvl>
  </w:abstractNum>
  <w:abstractNum w:abstractNumId="99">
    <w:nsid w:val="634C574C"/>
    <w:multiLevelType w:val="hybridMultilevel"/>
    <w:lvl w:ilvl="0">
      <w:lvlJc w:val="left"/>
      <w:lvlText w:val="(%1)"/>
      <w:numFmt w:val="lowerLetter"/>
      <w:start w:val="19"/>
    </w:lvl>
    <w:lvl w:ilvl="1">
      <w:lvlJc w:val="left"/>
      <w:lvlText w:val="(%2)"/>
      <w:numFmt w:val="lowerRoman"/>
      <w:start w:val="1"/>
    </w:lvl>
  </w:abstractNum>
  <w:abstractNum w:abstractNumId="100">
    <w:nsid w:val="24E99DD7"/>
    <w:multiLevelType w:val="hybridMultilevel"/>
    <w:lvl w:ilvl="0">
      <w:lvlJc w:val="left"/>
      <w:lvlText w:val="(%1)"/>
      <w:numFmt w:val="lowerRoman"/>
      <w:start w:val="1"/>
    </w:lvl>
  </w:abstractNum>
  <w:abstractNum w:abstractNumId="101">
    <w:nsid w:val="2A31B62D"/>
    <w:multiLevelType w:val="hybridMultilevel"/>
    <w:lvl w:ilvl="0">
      <w:lvlJc w:val="left"/>
      <w:lvlText w:val="(%1)"/>
      <w:numFmt w:val="lowerRoman"/>
      <w:start w:val="7"/>
    </w:lvl>
  </w:abstractNum>
  <w:abstractNum w:abstractNumId="102">
    <w:nsid w:val="1849C29B"/>
    <w:multiLevelType w:val="hybridMultilevel"/>
    <w:lvl w:ilvl="0">
      <w:lvlJc w:val="left"/>
      <w:lvlText w:val="(%1)"/>
      <w:numFmt w:val="upperLetter"/>
      <w:start w:val="2"/>
    </w:lvl>
    <w:lvl w:ilvl="1">
      <w:lvlJc w:val="left"/>
      <w:lvlText w:val="(%2)"/>
      <w:numFmt w:val="lowerRoman"/>
      <w:start w:val="17"/>
    </w:lvl>
  </w:abstractNum>
  <w:abstractNum w:abstractNumId="103">
    <w:nsid w:val="7DFF9D09"/>
    <w:multiLevelType w:val="hybridMultilevel"/>
    <w:lvl w:ilvl="0">
      <w:lvlJc w:val="left"/>
      <w:lvlText w:val="(%1)"/>
      <w:numFmt w:val="lowerLetter"/>
      <w:start w:val="25"/>
    </w:lvl>
  </w:abstractNum>
  <w:abstractNum w:abstractNumId="104">
    <w:nsid w:val="754342"/>
    <w:multiLevelType w:val="hybridMultilevel"/>
    <w:lvl w:ilvl="0">
      <w:lvlJc w:val="left"/>
      <w:lvlText w:val="(%1)"/>
      <w:numFmt w:val="lowerLetter"/>
      <w:start w:val="27"/>
    </w:lvl>
    <w:lvl w:ilvl="1">
      <w:lvlJc w:val="left"/>
      <w:lvlText w:val="(%2)"/>
      <w:numFmt w:val="lowerRoman"/>
      <w:start w:val="1"/>
    </w:lvl>
  </w:abstractNum>
  <w:abstractNum w:abstractNumId="105">
    <w:nsid w:val="69E7F3E5"/>
    <w:multiLevelType w:val="hybridMultilevel"/>
    <w:lvl w:ilvl="0">
      <w:lvlJc w:val="left"/>
      <w:lvlText w:val="%1"/>
      <w:numFmt w:val="lowerLetter"/>
      <w:start w:val="1"/>
    </w:lvl>
    <w:lvl w:ilvl="1">
      <w:lvlJc w:val="left"/>
      <w:lvlText w:val="(%2)"/>
      <w:numFmt w:val="lowerRoman"/>
      <w:start w:val="3"/>
    </w:lvl>
  </w:abstractNum>
  <w:abstractNum w:abstractNumId="106">
    <w:nsid w:val="2A6DE806"/>
    <w:multiLevelType w:val="hybridMultilevel"/>
    <w:lvl w:ilvl="0">
      <w:lvlJc w:val="left"/>
      <w:lvlText w:val="(%1)"/>
      <w:numFmt w:val="lowerLetter"/>
      <w:start w:val="32"/>
    </w:lvl>
    <w:lvl w:ilvl="1">
      <w:lvlJc w:val="left"/>
      <w:lvlText w:val="%2"/>
      <w:numFmt w:val="lowerRoman"/>
      <w:start w:val="1"/>
    </w:lvl>
  </w:abstractNum>
  <w:abstractNum w:abstractNumId="107">
    <w:nsid w:val="1816F8C4"/>
    <w:multiLevelType w:val="hybridMultilevel"/>
    <w:lvl w:ilvl="0">
      <w:lvlJc w:val="left"/>
      <w:lvlText w:val="(%1)"/>
      <w:numFmt w:val="lowerLetter"/>
      <w:start w:val="1"/>
    </w:lvl>
    <w:lvl w:ilvl="1">
      <w:lvlJc w:val="left"/>
      <w:lvlText w:val="(%2)"/>
      <w:numFmt w:val="lowerRoman"/>
      <w:start w:val="1"/>
    </w:lvl>
  </w:abstractNum>
  <w:abstractNum w:abstractNumId="108">
    <w:nsid w:val="37DF2233"/>
    <w:multiLevelType w:val="hybridMultilevel"/>
    <w:lvl w:ilvl="0">
      <w:lvlJc w:val="left"/>
      <w:lvlText w:val="%1"/>
      <w:numFmt w:val="lowerLetter"/>
      <w:start w:val="1"/>
    </w:lvl>
    <w:lvl w:ilvl="1">
      <w:lvlJc w:val="left"/>
      <w:lvlText w:val="(%2)"/>
      <w:numFmt w:val="lowerLetter"/>
      <w:start w:val="61"/>
    </w:lvl>
  </w:abstractNum>
  <w:abstractNum w:abstractNumId="109">
    <w:nsid w:val="7AB49DAF"/>
    <w:multiLevelType w:val="hybridMultilevel"/>
    <w:lvl w:ilvl="0">
      <w:lvlJc w:val="left"/>
      <w:lvlText w:val="(%1)"/>
      <w:numFmt w:val="lowerLetter"/>
      <w:start w:val="3"/>
    </w:lvl>
    <w:lvl w:ilvl="1">
      <w:lvlJc w:val="left"/>
      <w:lvlText w:val="(%2)"/>
      <w:numFmt w:val="lowerLetter"/>
      <w:start w:val="9"/>
    </w:lvl>
  </w:abstractNum>
  <w:abstractNum w:abstractNumId="110">
    <w:nsid w:val="759F82CD"/>
    <w:multiLevelType w:val="hybridMultilevel"/>
    <w:lvl w:ilvl="0">
      <w:lvlJc w:val="left"/>
      <w:lvlText w:val="%1"/>
      <w:numFmt w:val="lowerLetter"/>
      <w:start w:val="1"/>
    </w:lvl>
    <w:lvl w:ilvl="1">
      <w:lvlJc w:val="left"/>
      <w:lvlText w:val="(%2)"/>
      <w:numFmt w:val="lowerRoman"/>
      <w:start w:val="2"/>
    </w:lvl>
  </w:abstractNum>
  <w:abstractNum w:abstractNumId="111">
    <w:nsid w:val="61E74EA3"/>
    <w:multiLevelType w:val="hybridMultilevel"/>
    <w:lvl w:ilvl="0">
      <w:lvlJc w:val="left"/>
      <w:lvlText w:val="(%1)"/>
      <w:numFmt w:val="lowerLetter"/>
      <w:start w:val="4"/>
    </w:lvl>
    <w:lvl w:ilvl="1">
      <w:lvlJc w:val="left"/>
      <w:lvlText w:val="%2"/>
      <w:numFmt w:val="lowerRoman"/>
      <w:start w:val="1"/>
    </w:lvl>
  </w:abstractNum>
  <w:abstractNum w:abstractNumId="112">
    <w:nsid w:val="597B4D84"/>
    <w:multiLevelType w:val="hybridMultilevel"/>
    <w:lvl w:ilvl="0">
      <w:lvlJc w:val="left"/>
      <w:lvlText w:val="(%1)"/>
      <w:numFmt w:val="lowerLetter"/>
      <w:start w:val="8"/>
    </w:lvl>
  </w:abstractNum>
  <w:abstractNum w:abstractNumId="113">
    <w:nsid w:val="F819E7F"/>
    <w:multiLevelType w:val="hybridMultilevel"/>
    <w:lvl w:ilvl="0">
      <w:lvlJc w:val="left"/>
      <w:lvlText w:val="(%1)"/>
      <w:numFmt w:val="lowerLetter"/>
      <w:start w:val="17"/>
    </w:lvl>
  </w:abstractNum>
  <w:abstractNum w:abstractNumId="114">
    <w:nsid w:val="57C7D42D"/>
    <w:multiLevelType w:val="hybridMultilevel"/>
    <w:lvl w:ilvl="0">
      <w:lvlJc w:val="left"/>
      <w:lvlText w:val="(%1)"/>
      <w:numFmt w:val="lowerLetter"/>
      <w:start w:val="1"/>
    </w:lvl>
  </w:abstractNum>
  <w:abstractNum w:abstractNumId="115">
    <w:nsid w:val="312167AD"/>
    <w:multiLevelType w:val="hybridMultilevel"/>
    <w:lvl w:ilvl="0">
      <w:lvlJc w:val="left"/>
      <w:lvlText w:val="(%1)"/>
      <w:numFmt w:val="lowerLetter"/>
      <w:start w:val="1"/>
    </w:lvl>
    <w:lvl w:ilvl="1">
      <w:lvlJc w:val="left"/>
      <w:lvlText w:val="(%2)"/>
      <w:numFmt w:val="lowerRoman"/>
      <w:start w:val="1"/>
    </w:lvl>
  </w:abstractNum>
  <w:abstractNum w:abstractNumId="116">
    <w:nsid w:val="631B64D4"/>
    <w:multiLevelType w:val="hybridMultilevel"/>
    <w:lvl w:ilvl="0">
      <w:lvlJc w:val="left"/>
      <w:lvlText w:val="(%1)"/>
      <w:numFmt w:val="lowerRoman"/>
      <w:start w:val="3"/>
    </w:lvl>
  </w:abstractNum>
  <w:abstractNum w:abstractNumId="117">
    <w:nsid w:val="78B5E776"/>
    <w:multiLevelType w:val="hybridMultilevel"/>
    <w:lvl w:ilvl="0">
      <w:lvlJc w:val="left"/>
      <w:lvlText w:val="%1"/>
      <w:numFmt w:val="lowerLetter"/>
      <w:start w:val="1"/>
    </w:lvl>
    <w:lvl w:ilvl="1">
      <w:lvlJc w:val="left"/>
      <w:lvlText w:val="(%2)"/>
      <w:numFmt w:val="lowerRoman"/>
      <w:start w:val="7"/>
    </w:lvl>
  </w:abstractNum>
  <w:abstractNum w:abstractNumId="118">
    <w:nsid w:val="75486E47"/>
    <w:multiLevelType w:val="hybridMultilevel"/>
    <w:lvl w:ilvl="0">
      <w:lvlJc w:val="left"/>
      <w:lvlText w:val="(%1)"/>
      <w:numFmt w:val="lowerLetter"/>
      <w:start w:val="2"/>
    </w:lvl>
    <w:lvl w:ilvl="1">
      <w:lvlJc w:val="left"/>
      <w:lvlText w:val="%2"/>
      <w:numFmt w:val="lowerRoman"/>
      <w:start w:val="1"/>
    </w:lvl>
  </w:abstractNum>
  <w:abstractNum w:abstractNumId="119">
    <w:nsid w:val="6E534CDE"/>
    <w:multiLevelType w:val="hybridMultilevel"/>
    <w:lvl w:ilvl="0">
      <w:lvlJc w:val="left"/>
      <w:lvlText w:val="(%1)"/>
      <w:numFmt w:val="lowerLetter"/>
      <w:start w:val="5"/>
    </w:lvl>
  </w:abstractNum>
  <w:abstractNum w:abstractNumId="120">
    <w:nsid w:val="1A0DDE32"/>
    <w:multiLevelType w:val="hybridMultilevel"/>
    <w:lvl w:ilvl="0">
      <w:lvlJc w:val="left"/>
      <w:lvlText w:val="(%1)"/>
      <w:numFmt w:val="lowerLetter"/>
      <w:start w:val="9"/>
    </w:lvl>
  </w:abstractNum>
  <w:abstractNum w:abstractNumId="121">
    <w:nsid w:val="65968C1C"/>
    <w:multiLevelType w:val="hybridMultilevel"/>
    <w:lvl w:ilvl="0">
      <w:lvlJc w:val="left"/>
      <w:lvlText w:val="(%1)"/>
      <w:numFmt w:val="lowerLetter"/>
      <w:start w:val="17"/>
    </w:lvl>
  </w:abstractNum>
  <w:abstractNum w:abstractNumId="122">
    <w:nsid w:val="46263DEC"/>
    <w:multiLevelType w:val="hybridMultilevel"/>
    <w:lvl w:ilvl="0">
      <w:lvlJc w:val="left"/>
      <w:lvlText w:val="(%1)"/>
      <w:numFmt w:val="lowerLetter"/>
      <w:start w:val="1"/>
    </w:lvl>
  </w:abstractNum>
  <w:abstractNum w:abstractNumId="123">
    <w:nsid w:val="260D8C4A"/>
    <w:multiLevelType w:val="hybridMultilevel"/>
    <w:lvl w:ilvl="0">
      <w:lvlJc w:val="left"/>
      <w:lvlText w:val="%1"/>
      <w:numFmt w:val="decimal"/>
      <w:start w:val="1"/>
    </w:lvl>
    <w:lvl w:ilvl="1">
      <w:lvlJc w:val="left"/>
      <w:lvlText w:val="(%2)"/>
      <w:numFmt w:val="lowerLetter"/>
      <w:start w:val="6"/>
    </w:lvl>
  </w:abstractNum>
  <w:abstractNum w:abstractNumId="124">
    <w:nsid w:val="73D4D3C4"/>
    <w:multiLevelType w:val="hybridMultilevel"/>
    <w:lvl w:ilvl="0">
      <w:lvlJc w:val="left"/>
      <w:lvlText w:val="(%1)"/>
      <w:numFmt w:val="decimal"/>
      <w:start w:val="30"/>
    </w:lvl>
    <w:lvl w:ilvl="1">
      <w:lvlJc w:val="left"/>
      <w:lvlText w:val="(%2)"/>
      <w:numFmt w:val="lowerLetter"/>
      <w:start w:val="8"/>
    </w:lvl>
  </w:abstractNum>
  <w:abstractNum w:abstractNumId="125">
    <w:nsid w:val="746F2E30"/>
    <w:multiLevelType w:val="hybridMultilevel"/>
    <w:lvl w:ilvl="0">
      <w:lvlJc w:val="left"/>
      <w:lvlText w:val="(%1)"/>
      <w:numFmt w:val="lowerLetter"/>
      <w:start w:val="12"/>
    </w:lvl>
  </w:abstractNum>
  <w:abstractNum w:abstractNumId="126">
    <w:nsid w:val="6FDE8AF6"/>
    <w:multiLevelType w:val="hybridMultilevel"/>
    <w:lvl w:ilvl="0">
      <w:lvlJc w:val="left"/>
      <w:lvlText w:val="(%1)"/>
      <w:numFmt w:val="lowerLetter"/>
      <w:start w:val="1"/>
    </w:lvl>
  </w:abstractNum>
  <w:abstractNum w:abstractNumId="127">
    <w:nsid w:val="3FC32E20"/>
    <w:multiLevelType w:val="hybridMultilevel"/>
    <w:lvl w:ilvl="0">
      <w:lvlJc w:val="left"/>
      <w:lvlText w:val="(%1)"/>
      <w:numFmt w:val="lowerLetter"/>
      <w:start w:val="2"/>
    </w:lvl>
  </w:abstractNum>
  <w:abstractNum w:abstractNumId="128">
    <w:nsid w:val="49C0E823"/>
    <w:multiLevelType w:val="hybridMultilevel"/>
    <w:lvl w:ilvl="0">
      <w:lvlJc w:val="left"/>
      <w:lvlText w:val="(%1)"/>
      <w:numFmt w:val="lowerLetter"/>
      <w:start w:val="2"/>
    </w:lvl>
  </w:abstractNum>
  <w:abstractNum w:abstractNumId="129">
    <w:nsid w:val="14D53685"/>
    <w:multiLevelType w:val="hybridMultilevel"/>
    <w:lvl w:ilvl="0">
      <w:lvlJc w:val="left"/>
      <w:lvlText w:val="(%1)"/>
      <w:numFmt w:val="lowerRoman"/>
      <w:start w:val="1"/>
    </w:lvl>
  </w:abstractNum>
  <w:abstractNum w:abstractNumId="130">
    <w:nsid w:val="230F856C"/>
    <w:multiLevelType w:val="hybridMultilevel"/>
    <w:lvl w:ilvl="0">
      <w:lvlJc w:val="left"/>
      <w:lvlText w:val="(%1)"/>
      <w:numFmt w:val="lowerLetter"/>
      <w:start w:val="2"/>
    </w:lvl>
  </w:abstractNum>
  <w:abstractNum w:abstractNumId="131">
    <w:nsid w:val="6EAA85FB"/>
    <w:multiLevelType w:val="hybridMultilevel"/>
    <w:lvl w:ilvl="0">
      <w:lvlJc w:val="left"/>
      <w:lvlText w:val="(%1)"/>
      <w:numFmt w:val="lowerLetter"/>
      <w:start w:val="1"/>
    </w:lvl>
  </w:abstractNum>
  <w:abstractNum w:abstractNumId="132">
    <w:nsid w:val="3F06ECB2"/>
    <w:multiLevelType w:val="hybridMultilevel"/>
    <w:lvl w:ilvl="0">
      <w:lvlJc w:val="left"/>
      <w:lvlText w:val="(%1)"/>
      <w:numFmt w:val="lowerLetter"/>
      <w:start w:val="3"/>
    </w:lvl>
  </w:abstractNum>
  <w:abstractNum w:abstractNumId="133">
    <w:nsid w:val="3B594807"/>
    <w:multiLevelType w:val="hybridMultilevel"/>
    <w:lvl w:ilvl="0">
      <w:lvlJc w:val="left"/>
      <w:lvlText w:val="(%1)"/>
      <w:numFmt w:val="upperLetter"/>
      <w:start w:val="1"/>
    </w:lvl>
  </w:abstractNum>
  <w:abstractNum w:abstractNumId="134">
    <w:nsid w:val="6CAA2304"/>
    <w:multiLevelType w:val="hybridMultilevel"/>
    <w:lvl w:ilvl="0">
      <w:lvlJc w:val="left"/>
      <w:lvlText w:val="(%1)"/>
      <w:numFmt w:val="lowerLetter"/>
      <w:start w:val="1"/>
    </w:lvl>
  </w:abstractNum>
  <w:abstractNum w:abstractNumId="135">
    <w:nsid w:val="3F7C2FF4"/>
    <w:multiLevelType w:val="hybridMultilevel"/>
    <w:lvl w:ilvl="0">
      <w:lvlJc w:val="left"/>
      <w:lvlText w:val="(%1)"/>
      <w:numFmt w:val="lowerLetter"/>
      <w:start w:val="2"/>
    </w:lvl>
  </w:abstractNum>
  <w:abstractNum w:abstractNumId="136">
    <w:nsid w:val="25413BEC"/>
    <w:multiLevelType w:val="hybridMultilevel"/>
    <w:lvl w:ilvl="0">
      <w:lvlJc w:val="left"/>
      <w:lvlText w:val="(%1)"/>
      <w:numFmt w:val="lowerLetter"/>
      <w:start w:val="14"/>
    </w:lvl>
  </w:abstractNum>
  <w:abstractNum w:abstractNumId="137">
    <w:nsid w:val="17180B0B"/>
    <w:multiLevelType w:val="hybridMultilevel"/>
    <w:lvl w:ilvl="0">
      <w:lvlJc w:val="left"/>
      <w:lvlText w:val="(%1)"/>
      <w:numFmt w:val="lowerLetter"/>
      <w:start w:val="15"/>
    </w:lvl>
  </w:abstractNum>
  <w:abstractNum w:abstractNumId="138">
    <w:nsid w:val="579328B9"/>
    <w:multiLevelType w:val="hybridMultilevel"/>
    <w:lvl w:ilvl="0">
      <w:lvlJc w:val="left"/>
      <w:lvlText w:val="(%1)"/>
      <w:numFmt w:val="lowerLetter"/>
      <w:start w:val="1"/>
    </w:lvl>
  </w:abstractNum>
  <w:abstractNum w:abstractNumId="139">
    <w:nsid w:val="5D205E20"/>
    <w:multiLevelType w:val="hybridMultilevel"/>
    <w:lvl w:ilvl="0">
      <w:lvlJc w:val="left"/>
      <w:lvlText w:val="(%1)"/>
      <w:numFmt w:val="lowerLetter"/>
      <w:start w:val="3"/>
    </w:lvl>
  </w:abstractNum>
  <w:abstractNum w:abstractNumId="140">
    <w:nsid w:val="11CCA8BA"/>
    <w:multiLevelType w:val="hybridMultilevel"/>
    <w:lvl w:ilvl="0">
      <w:lvlJc w:val="left"/>
      <w:lvlText w:val="(%1)"/>
      <w:numFmt w:val="lowerLetter"/>
      <w:start w:val="12"/>
    </w:lvl>
  </w:abstractNum>
  <w:abstractNum w:abstractNumId="141">
    <w:nsid w:val="4D32AB86"/>
    <w:multiLevelType w:val="hybridMultilevel"/>
    <w:lvl w:ilvl="0">
      <w:lvlJc w:val="left"/>
      <w:lvlText w:val="(%1)"/>
      <w:numFmt w:val="lowerLetter"/>
      <w:start w:val="13"/>
    </w:lvl>
  </w:abstractNum>
  <w:abstractNum w:abstractNumId="142">
    <w:nsid w:val="3F07ACC3"/>
    <w:multiLevelType w:val="hybridMultilevel"/>
    <w:lvl w:ilvl="0">
      <w:lvlJc w:val="left"/>
      <w:lvlText w:val="(%1)"/>
      <w:numFmt w:val="lowerLetter"/>
      <w:start w:val="1"/>
    </w:lvl>
  </w:abstractNum>
  <w:abstractNum w:abstractNumId="143">
    <w:nsid w:val="6B47F63E"/>
    <w:multiLevelType w:val="hybridMultilevel"/>
    <w:lvl w:ilvl="0">
      <w:lvlJc w:val="left"/>
      <w:lvlText w:val="(%1)"/>
      <w:numFmt w:val="lowerRoman"/>
      <w:start w:val="1"/>
    </w:lvl>
  </w:abstractNum>
  <w:abstractNum w:abstractNumId="144">
    <w:nsid w:val="5CB44A05"/>
    <w:multiLevelType w:val="hybridMultilevel"/>
    <w:lvl w:ilvl="0">
      <w:lvlJc w:val="left"/>
      <w:lvlText w:val="(%1)"/>
      <w:numFmt w:val="lowerLetter"/>
      <w:start w:val="2"/>
    </w:lvl>
  </w:abstractNum>
  <w:abstractNum w:abstractNumId="145">
    <w:nsid w:val="16CF80F1"/>
    <w:multiLevelType w:val="hybridMultilevel"/>
    <w:lvl w:ilvl="0">
      <w:lvlJc w:val="left"/>
      <w:lvlText w:val="(%1)"/>
      <w:numFmt w:val="lowerLetter"/>
      <w:start w:val="4"/>
    </w:lvl>
  </w:abstractNum>
  <w:abstractNum w:abstractNumId="146">
    <w:nsid w:val="1C695DEC"/>
    <w:multiLevelType w:val="hybridMultilevel"/>
    <w:lvl w:ilvl="0">
      <w:lvlJc w:val="left"/>
      <w:lvlText w:val="(%1)"/>
      <w:numFmt w:val="lowerLetter"/>
      <w:start w:val="1"/>
    </w:lvl>
    <w:lvl w:ilvl="1">
      <w:lvlJc w:val="left"/>
      <w:lvlText w:val="(%2)"/>
      <w:numFmt w:val="lowerRoman"/>
      <w:start w:val="1"/>
    </w:lvl>
  </w:abstractNum>
  <w:abstractNum w:abstractNumId="147">
    <w:nsid w:val="3FCFAED9"/>
    <w:multiLevelType w:val="hybridMultilevel"/>
    <w:lvl w:ilvl="0">
      <w:lvlJc w:val="left"/>
      <w:lvlText w:val="(%1)"/>
      <w:numFmt w:val="lowerRoman"/>
      <w:start w:val="1"/>
    </w:lvl>
  </w:abstractNum>
  <w:abstractNum w:abstractNumId="148">
    <w:nsid w:val="F856867"/>
    <w:multiLevelType w:val="hybridMultilevel"/>
    <w:lvl w:ilvl="0">
      <w:lvlJc w:val="left"/>
      <w:lvlText w:val="(%1)"/>
      <w:numFmt w:val="lowerRoman"/>
      <w:start w:val="4"/>
    </w:lvl>
  </w:abstractNum>
  <w:abstractNum w:abstractNumId="149">
    <w:nsid w:val="11B1CC33"/>
    <w:multiLevelType w:val="hybridMultilevel"/>
    <w:lvl w:ilvl="0">
      <w:lvlJc w:val="left"/>
      <w:lvlText w:val="(%1)"/>
      <w:numFmt w:val="lowerLetter"/>
      <w:start w:val="2"/>
    </w:lvl>
  </w:abstractNum>
  <w:abstractNum w:abstractNumId="150">
    <w:nsid w:val="2E22FBB7"/>
    <w:multiLevelType w:val="hybridMultilevel"/>
    <w:lvl w:ilvl="0">
      <w:lvlJc w:val="left"/>
      <w:lvlText w:val="(%1)"/>
      <w:numFmt w:val="lowerLetter"/>
      <w:start w:val="2"/>
    </w:lvl>
  </w:abstractNum>
  <w:abstractNum w:abstractNumId="151">
    <w:nsid w:val="29934699"/>
    <w:multiLevelType w:val="hybridMultilevel"/>
    <w:lvl w:ilvl="0">
      <w:lvlJc w:val="left"/>
      <w:lvlText w:val="(%1)"/>
      <w:numFmt w:val="lowerLetter"/>
      <w:start w:val="1"/>
    </w:lvl>
    <w:lvl w:ilvl="1">
      <w:lvlJc w:val="left"/>
      <w:lvlText w:val="(%2)"/>
      <w:numFmt w:val="lowerLetter"/>
      <w:start w:val="9"/>
    </w:lvl>
  </w:abstractNum>
  <w:abstractNum w:abstractNumId="152">
    <w:nsid w:val="77485850"/>
    <w:multiLevelType w:val="hybridMultilevel"/>
    <w:lvl w:ilvl="0">
      <w:lvlJc w:val="left"/>
      <w:lvlText w:val="%1"/>
      <w:numFmt w:val="lowerLetter"/>
      <w:start w:val="1"/>
    </w:lvl>
    <w:lvl w:ilvl="1">
      <w:lvlJc w:val="left"/>
      <w:lvlText w:val="(%2)"/>
      <w:numFmt w:val="lowerLetter"/>
      <w:start w:val="35"/>
    </w:lvl>
  </w:abstractNum>
  <w:abstractNum w:abstractNumId="153">
    <w:nsid w:val="744939A3"/>
    <w:multiLevelType w:val="hybridMultilevel"/>
    <w:lvl w:ilvl="0">
      <w:lvlJc w:val="left"/>
      <w:lvlText w:val="(%1)"/>
      <w:numFmt w:val="lowerLetter"/>
      <w:start w:val="3"/>
    </w:lvl>
    <w:lvl w:ilvl="1">
      <w:lvlJc w:val="left"/>
      <w:lvlText w:val="%2"/>
      <w:numFmt w:val="lowerLetter"/>
      <w:start w:val="1"/>
    </w:lvl>
  </w:abstractNum>
  <w:abstractNum w:abstractNumId="154">
    <w:nsid w:val="4FA0D2E3"/>
    <w:multiLevelType w:val="hybridMultilevel"/>
    <w:lvl w:ilvl="0">
      <w:lvlJc w:val="left"/>
      <w:lvlText w:val="(%1)"/>
      <w:numFmt w:val="lowerLetter"/>
      <w:start w:val="5"/>
    </w:lvl>
  </w:abstractNum>
  <w:abstractNum w:abstractNumId="155">
    <w:nsid w:val="6B1D2C14"/>
    <w:multiLevelType w:val="hybridMultilevel"/>
    <w:lvl w:ilvl="0">
      <w:lvlJc w:val="left"/>
      <w:lvlText w:val="%1"/>
      <w:numFmt w:val="lowerRoman"/>
      <w:start w:val="1"/>
    </w:lvl>
    <w:lvl w:ilvl="1">
      <w:lvlJc w:val="left"/>
      <w:lvlText w:val="(%2)"/>
      <w:numFmt w:val="lowerLetter"/>
      <w:start w:val="2"/>
    </w:lvl>
  </w:abstractNum>
  <w:abstractNum w:abstractNumId="156">
    <w:nsid w:val="68B867D3"/>
    <w:multiLevelType w:val="hybridMultilevel"/>
    <w:lvl w:ilvl="0">
      <w:lvlJc w:val="left"/>
      <w:lvlText w:val="(%1)"/>
      <w:numFmt w:val="lowerRoman"/>
      <w:start w:val="6"/>
    </w:lvl>
    <w:lvl w:ilvl="1">
      <w:lvlJc w:val="left"/>
      <w:lvlText w:val="%2"/>
      <w:numFmt w:val="lowerLetter"/>
      <w:start w:val="1"/>
    </w:lvl>
  </w:abstractNum>
  <w:abstractNum w:abstractNumId="157">
    <w:nsid w:val="3F7F5DD9"/>
    <w:multiLevelType w:val="hybridMultilevel"/>
    <w:lvl w:ilvl="0">
      <w:lvlJc w:val="left"/>
      <w:lvlText w:val="%1"/>
      <w:numFmt w:val="lowerLetter"/>
      <w:start w:val="1"/>
    </w:lvl>
    <w:lvl w:ilvl="1">
      <w:lvlJc w:val="left"/>
      <w:lvlText w:val="(%2)"/>
      <w:numFmt w:val="lowerLetter"/>
      <w:start w:val="1"/>
    </w:lvl>
  </w:abstractNum>
  <w:abstractNum w:abstractNumId="158">
    <w:nsid w:val="2AE05A34"/>
    <w:multiLevelType w:val="hybridMultilevel"/>
    <w:lvl w:ilvl="0">
      <w:lvlJc w:val="left"/>
      <w:lvlText w:val="(%1)"/>
      <w:numFmt w:val="lowerLetter"/>
      <w:start w:val="61"/>
    </w:lvl>
    <w:lvl w:ilvl="1">
      <w:lvlJc w:val="left"/>
      <w:lvlText w:val="%2"/>
      <w:numFmt w:val="lowerLetter"/>
      <w:start w:val="1"/>
    </w:lvl>
  </w:abstractNum>
  <w:abstractNum w:abstractNumId="159">
    <w:nsid w:val="32794FF7"/>
    <w:multiLevelType w:val="hybridMultilevel"/>
    <w:lvl w:ilvl="0">
      <w:lvlJc w:val="left"/>
      <w:lvlText w:val="(%1)"/>
      <w:numFmt w:val="lowerLetter"/>
      <w:start w:val="2"/>
    </w:lvl>
    <w:lvl w:ilvl="1">
      <w:lvlJc w:val="left"/>
      <w:lvlText w:val="(%2)"/>
      <w:numFmt w:val="lowerRoman"/>
      <w:start w:val="1"/>
    </w:lvl>
  </w:abstractNum>
  <w:abstractNum w:abstractNumId="160">
    <w:nsid w:val="5454945E"/>
    <w:multiLevelType w:val="hybridMultilevel"/>
    <w:lvl w:ilvl="0">
      <w:lvlJc w:val="left"/>
      <w:lvlText w:val="(%1)"/>
      <w:numFmt w:val="lowerLetter"/>
      <w:start w:val="1"/>
    </w:lvl>
  </w:abstractNum>
  <w:abstractNum w:abstractNumId="161">
    <w:nsid w:val="4DEFDFA0"/>
    <w:multiLevelType w:val="hybridMultilevel"/>
    <w:lvl w:ilvl="0">
      <w:lvlJc w:val="left"/>
      <w:lvlText w:val="(%1)"/>
      <w:numFmt w:val="lowerLetter"/>
      <w:start w:val="2"/>
    </w:lvl>
  </w:abstractNum>
  <w:abstractNum w:abstractNumId="162">
    <w:nsid w:val="2123D5F2"/>
    <w:multiLevelType w:val="hybridMultilevel"/>
    <w:lvl w:ilvl="0">
      <w:lvlJc w:val="left"/>
      <w:lvlText w:val="(%1)"/>
      <w:numFmt w:val="lowerLetter"/>
      <w:start w:val="2"/>
    </w:lvl>
  </w:abstractNum>
  <w:abstractNum w:abstractNumId="163">
    <w:nsid w:val="135B8110"/>
    <w:multiLevelType w:val="hybridMultilevel"/>
    <w:lvl w:ilvl="0">
      <w:lvlJc w:val="left"/>
      <w:lvlText w:val="(%1)"/>
      <w:numFmt w:val="lowerLetter"/>
      <w:start w:val="4"/>
    </w:lvl>
  </w:abstractNum>
  <w:abstractNum w:abstractNumId="164">
    <w:nsid w:val="94927A8"/>
    <w:multiLevelType w:val="hybridMultilevel"/>
    <w:lvl w:ilvl="0">
      <w:lvlJc w:val="left"/>
      <w:lvlText w:val="%1"/>
      <w:numFmt w:val="lowerLetter"/>
      <w:start w:val="1"/>
    </w:lvl>
    <w:lvl w:ilvl="1">
      <w:lvlJc w:val="left"/>
      <w:lvlText w:val="(%2)"/>
      <w:numFmt w:val="lowerLetter"/>
      <w:start w:val="5"/>
    </w:lvl>
  </w:abstractNum>
  <w:abstractNum w:abstractNumId="165">
    <w:nsid w:val="DCDF8F6"/>
    <w:multiLevelType w:val="hybridMultilevel"/>
    <w:lvl w:ilvl="0">
      <w:lvlJc w:val="left"/>
      <w:lvlText w:val="(%1)"/>
      <w:numFmt w:val="lowerLetter"/>
      <w:start w:val="35"/>
    </w:lvl>
    <w:lvl w:ilvl="1">
      <w:lvlJc w:val="left"/>
      <w:lvlText w:val="(%2)"/>
      <w:numFmt w:val="lowerLetter"/>
      <w:start w:val="6"/>
    </w:lvl>
  </w:abstractNum>
  <w:abstractNum w:abstractNumId="166">
    <w:nsid w:val="52D7B105"/>
    <w:multiLevelType w:val="hybridMultilevel"/>
    <w:lvl w:ilvl="0">
      <w:lvlJc w:val="left"/>
      <w:lvlText w:val="(%1)"/>
      <w:numFmt w:val="lowerLetter"/>
      <w:start w:val="8"/>
    </w:lvl>
  </w:abstractNum>
  <w:abstractNum w:abstractNumId="167">
    <w:nsid w:val="2E8A6394"/>
    <w:multiLevelType w:val="hybridMultilevel"/>
    <w:lvl w:ilvl="0">
      <w:lvlJc w:val="left"/>
      <w:lvlText w:val="(%1)"/>
      <w:numFmt w:val="lowerLetter"/>
      <w:start w:val="1"/>
    </w:lvl>
  </w:abstractNum>
  <w:abstractNum w:abstractNumId="168">
    <w:nsid w:val="24E60401"/>
    <w:multiLevelType w:val="hybridMultilevel"/>
    <w:lvl w:ilvl="0">
      <w:lvlJc w:val="left"/>
      <w:lvlText w:val="(%1)"/>
      <w:numFmt w:val="lowerLetter"/>
      <w:start w:val="1"/>
    </w:lvl>
  </w:abstractNum>
  <w:abstractNum w:abstractNumId="169">
    <w:nsid w:val="2A6AD9BE"/>
    <w:multiLevelType w:val="hybridMultilevel"/>
    <w:lvl w:ilvl="0">
      <w:lvlJc w:val="left"/>
      <w:lvlText w:val="(%1)"/>
      <w:numFmt w:val="lowerLetter"/>
      <w:start w:val="2"/>
    </w:lvl>
  </w:abstractNum>
  <w:abstractNum w:abstractNumId="170">
    <w:nsid w:val="BAAC1B4"/>
    <w:multiLevelType w:val="hybridMultilevel"/>
    <w:lvl w:ilvl="0">
      <w:lvlJc w:val="left"/>
      <w:lvlText w:val="(%1)"/>
      <w:numFmt w:val="lowerLetter"/>
      <w:start w:val="1"/>
    </w:lvl>
  </w:abstractNum>
  <w:abstractNum w:abstractNumId="171">
    <w:nsid w:val="36B2ACBC"/>
    <w:multiLevelType w:val="hybridMultilevel"/>
    <w:lvl w:ilvl="0">
      <w:lvlJc w:val="left"/>
      <w:lvlText w:val="(%1)"/>
      <w:numFmt w:val="lowerLetter"/>
      <w:start w:val="1"/>
    </w:lvl>
    <w:lvl w:ilvl="1">
      <w:lvlJc w:val="left"/>
      <w:lvlText w:val="(%2)"/>
      <w:numFmt w:val="lowerRoman"/>
      <w:start w:val="1"/>
    </w:lvl>
  </w:abstractNum>
  <w:abstractNum w:abstractNumId="172">
    <w:nsid w:val="779D8544"/>
    <w:multiLevelType w:val="hybridMultilevel"/>
    <w:lvl w:ilvl="0">
      <w:lvlJc w:val="left"/>
      <w:lvlText w:val="%1."/>
      <w:numFmt w:val="decimal"/>
      <w:start w:val="10"/>
    </w:lvl>
  </w:abstractNum>
  <w:abstractNum w:abstractNumId="173">
    <w:nsid w:val="4AB26E78"/>
    <w:multiLevelType w:val="hybridMultilevel"/>
    <w:lvl w:ilvl="0">
      <w:lvlJc w:val="left"/>
      <w:lvlText w:val="%1."/>
      <w:numFmt w:val="decimal"/>
      <w:start w:val="1"/>
    </w:lvl>
  </w:abstractNum>
  <w:abstractNum w:abstractNumId="174">
    <w:nsid w:val="21FAA2FA"/>
    <w:multiLevelType w:val="hybridMultilevel"/>
    <w:lvl w:ilvl="0">
      <w:lvlJc w:val="left"/>
      <w:lvlText w:val="%1."/>
      <w:numFmt w:val="decimal"/>
      <w:start w:val="4"/>
    </w:lvl>
  </w:abstractNum>
  <w:abstractNum w:abstractNumId="175">
    <w:nsid w:val="5451CF49"/>
    <w:multiLevelType w:val="hybridMultilevel"/>
    <w:lvl w:ilvl="0">
      <w:lvlJc w:val="left"/>
      <w:lvlText w:val="%1."/>
      <w:numFmt w:val="decimal"/>
      <w:start w:val="9"/>
    </w:lvl>
  </w:abstractNum>
  <w:abstractNum w:abstractNumId="176">
    <w:nsid w:val="6181EF6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2026-05-14T16:31:57Z</dcterms:created>
  <dcterms:modified xsi:type="dcterms:W3CDTF">2026-05-14T16:31:57Z</dcterms:modified>
</cp:coreProperties>
</file>