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96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967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Morrison Karen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425 WINTER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GREIF,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GEF, GEF-B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DELAWARE</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43015</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vMerge w:val="restart"/>
          </w:tcPr>
          <w:p>
            <w:pPr>
              <w:ind w:left="280"/>
              <w:spacing w:after="0" w:line="207" w:lineRule="exact"/>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(1)</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402.36</w:t>
            </w:r>
          </w:p>
        </w:tc>
        <w:tc>
          <w:tcPr>
            <w:tcW w:w="700" w:type="dxa"/>
            <w:vAlign w:val="bottom"/>
          </w:tcPr>
          <w:p>
            <w:pPr>
              <w:spacing w:after="0"/>
              <w:rPr>
                <w:sz w:val="5"/>
                <w:szCs w:val="5"/>
                <w:color w:val="auto"/>
              </w:rPr>
            </w:pPr>
          </w:p>
        </w:tc>
        <w:tc>
          <w:tcPr>
            <w:tcW w:w="940" w:type="dxa"/>
            <w:vAlign w:val="bottom"/>
            <w:vMerge w:val="restart"/>
          </w:tcPr>
          <w:p>
            <w:pPr>
              <w:ind w:left="180"/>
              <w:spacing w:after="0" w:line="207" w:lineRule="exact"/>
              <w:rPr>
                <w:sz w:val="20"/>
                <w:szCs w:val="20"/>
                <w:color w:val="auto"/>
              </w:rPr>
            </w:pPr>
            <w:r>
              <w:rPr>
                <w:rFonts w:ascii="Times New Roman" w:cs="Times New Roman" w:eastAsia="Times New Roman" w:hAnsi="Times New Roman"/>
                <w:sz w:val="13"/>
                <w:szCs w:val="13"/>
                <w:color w:val="0000FF"/>
              </w:rPr>
              <w:t>3,003.99</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1100" w:type="dxa"/>
            <w:vAlign w:val="bottom"/>
          </w:tcPr>
          <w:p>
            <w:pPr>
              <w:spacing w:after="0"/>
              <w:rPr>
                <w:sz w:val="6"/>
                <w:szCs w:val="6"/>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402.36</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65.24</w:t>
            </w:r>
          </w:p>
        </w:tc>
        <w:tc>
          <w:tcPr>
            <w:tcW w:w="940" w:type="dxa"/>
            <w:vAlign w:val="bottom"/>
            <w:vMerge w:val="continue"/>
          </w:tcPr>
          <w:p>
            <w:pPr>
              <w:spacing w:after="0"/>
              <w:rPr>
                <w:sz w:val="6"/>
                <w:szCs w:val="6"/>
                <w:color w:val="auto"/>
              </w:rPr>
            </w:pP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(Cash</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Only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Rights)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stock unit is the economic equivalent of one share of Class A Common Stock of Greif, Inc.</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shares are to be settled in cash upon the Reporting Person's termination from the Board due to her retirement, death or other reason.</w:t>
      </w:r>
    </w:p>
    <w:p>
      <w:pPr>
        <w:spacing w:after="0" w:line="44"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21.54 units received on April 1, 2026 in lieu of payment of dividends on outstanding phantom units. Dividends paid on one phantom unit are equivalent in value to dividends paid on one share of Class A Common Stock.</w:t>
      </w:r>
    </w:p>
    <w:p>
      <w:pPr>
        <w:sectPr>
          <w:pgSz w:w="11900" w:h="16838" w:orient="portrait"/>
          <w:cols w:equalWidth="0" w:num="1">
            <w:col w:w="11080"/>
          </w:cols>
          <w:pgMar w:left="460" w:top="217" w:right="359" w:bottom="1440" w:gutter="0" w:footer="0" w:header="0"/>
          <w:type w:val="continuous"/>
        </w:sectPr>
      </w:pP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Karen A. Morrison by 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65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65530"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Dennis Hoffman, Jr.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256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to a POA filed with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991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12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565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3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4"/>
          <w:szCs w:val="24"/>
          <w:color w:val="auto"/>
        </w:rPr>
      </w:pPr>
    </w:p>
    <w:p>
      <w:pPr>
        <w:sectPr>
          <w:pgSz w:w="11900" w:h="16838" w:orient="portrait"/>
          <w:cols w:equalWidth="0" w:num="2">
            <w:col w:w="8580" w:space="22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914572" TargetMode="External"/><Relationship Id="rId14" Type="http://schemas.openxmlformats.org/officeDocument/2006/relationships/hyperlink" Target="http://www.sec.gov/cgi-bin/browse-edgar?action=getcompany&amp;CIK=0000043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2026-05-01T17:11:26Z</dcterms:created>
  <dcterms:modified xsi:type="dcterms:W3CDTF">2026-05-01T17:11:26Z</dcterms:modified>
</cp:coreProperties>
</file>